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77" w:rsidRPr="001641BA" w:rsidRDefault="00B20677" w:rsidP="00AA7D6E">
      <w:pPr>
        <w:jc w:val="center"/>
      </w:pPr>
      <w:bookmarkStart w:id="0" w:name="_GoBack"/>
      <w:bookmarkEnd w:id="0"/>
      <w:r w:rsidRPr="001641BA">
        <w:t>Michigan Ebola Guidance Summary</w:t>
      </w:r>
    </w:p>
    <w:p w:rsidR="00B20677" w:rsidRDefault="00B20677" w:rsidP="00AA7D6E"/>
    <w:p w:rsidR="00B20677" w:rsidRPr="00E8376C" w:rsidRDefault="00B20677" w:rsidP="00AA7D6E">
      <w:pPr>
        <w:rPr>
          <w:sz w:val="20"/>
          <w:szCs w:val="20"/>
        </w:rPr>
      </w:pPr>
      <w:r w:rsidRPr="00E8376C">
        <w:rPr>
          <w:i/>
          <w:iCs/>
          <w:sz w:val="20"/>
          <w:szCs w:val="20"/>
        </w:rPr>
        <w:t xml:space="preserve">Complete updates are posted at </w:t>
      </w:r>
      <w:hyperlink r:id="rId7" w:history="1">
        <w:r w:rsidRPr="00E8376C">
          <w:rPr>
            <w:rStyle w:val="Hyperlink"/>
            <w:rFonts w:cs="Arial"/>
            <w:i/>
            <w:iCs/>
            <w:sz w:val="20"/>
            <w:szCs w:val="20"/>
          </w:rPr>
          <w:t>http://www.cdc.gov/vhf/ebola/index.html</w:t>
        </w:r>
      </w:hyperlink>
      <w:r w:rsidRPr="00E8376C">
        <w:rPr>
          <w:sz w:val="20"/>
          <w:szCs w:val="20"/>
        </w:rPr>
        <w:t xml:space="preserve">. </w:t>
      </w:r>
    </w:p>
    <w:p w:rsidR="00B20677" w:rsidRPr="00E8376C" w:rsidRDefault="00B20677" w:rsidP="00AA7D6E">
      <w:pPr>
        <w:rPr>
          <w:sz w:val="20"/>
          <w:szCs w:val="20"/>
        </w:rPr>
      </w:pPr>
    </w:p>
    <w:p w:rsidR="00B20677" w:rsidRPr="00E8376C" w:rsidRDefault="00B20677" w:rsidP="00150955">
      <w:pPr>
        <w:rPr>
          <w:sz w:val="20"/>
          <w:szCs w:val="20"/>
        </w:rPr>
      </w:pPr>
      <w:r w:rsidRPr="00E8376C">
        <w:rPr>
          <w:sz w:val="20"/>
          <w:szCs w:val="20"/>
        </w:rPr>
        <w:t>Background:</w:t>
      </w:r>
    </w:p>
    <w:p w:rsidR="00B20677" w:rsidRPr="00E8376C" w:rsidRDefault="00B20677" w:rsidP="008A6579">
      <w:pPr>
        <w:pStyle w:val="ListParagraph"/>
        <w:numPr>
          <w:ilvl w:val="0"/>
          <w:numId w:val="4"/>
        </w:numPr>
        <w:rPr>
          <w:sz w:val="20"/>
          <w:szCs w:val="20"/>
        </w:rPr>
      </w:pPr>
      <w:r w:rsidRPr="00E8376C">
        <w:rPr>
          <w:sz w:val="20"/>
          <w:szCs w:val="20"/>
        </w:rPr>
        <w:t>Death rate can be as high as 90%, but in this outbreak is currently around 55-60%</w:t>
      </w:r>
    </w:p>
    <w:p w:rsidR="00B20677" w:rsidRDefault="00B20677" w:rsidP="00AA7D6E">
      <w:pPr>
        <w:rPr>
          <w:sz w:val="20"/>
          <w:szCs w:val="20"/>
        </w:rPr>
      </w:pPr>
    </w:p>
    <w:p w:rsidR="00B20677" w:rsidRPr="00E8376C" w:rsidRDefault="00B20677" w:rsidP="00AA7D6E">
      <w:pPr>
        <w:rPr>
          <w:sz w:val="20"/>
          <w:szCs w:val="20"/>
        </w:rPr>
      </w:pPr>
      <w:r w:rsidRPr="00E8376C">
        <w:rPr>
          <w:sz w:val="20"/>
          <w:szCs w:val="20"/>
        </w:rPr>
        <w:t>Case Evaluation Criteria:</w:t>
      </w:r>
    </w:p>
    <w:p w:rsidR="00B20677" w:rsidRPr="00E8376C" w:rsidRDefault="00B20677" w:rsidP="00E8376C">
      <w:pPr>
        <w:pStyle w:val="ListParagraph"/>
        <w:numPr>
          <w:ilvl w:val="0"/>
          <w:numId w:val="4"/>
        </w:numPr>
        <w:rPr>
          <w:sz w:val="20"/>
          <w:szCs w:val="20"/>
        </w:rPr>
      </w:pPr>
      <w:r w:rsidRPr="00E8376C">
        <w:rPr>
          <w:sz w:val="20"/>
          <w:szCs w:val="20"/>
        </w:rPr>
        <w:t>Early recognition is critical.  Healthcare providers should be alert for and evaluate suspected patients for Ebola virus infection who have both consistent symptoms and certain epidemiologic risk factors:</w:t>
      </w:r>
    </w:p>
    <w:p w:rsidR="00B20677" w:rsidRPr="00095262" w:rsidRDefault="00B20677" w:rsidP="00E8376C">
      <w:pPr>
        <w:pStyle w:val="ListParagraph"/>
        <w:numPr>
          <w:ilvl w:val="0"/>
          <w:numId w:val="6"/>
        </w:numPr>
        <w:rPr>
          <w:b/>
          <w:bCs/>
          <w:i/>
          <w:iCs/>
          <w:sz w:val="20"/>
          <w:szCs w:val="20"/>
        </w:rPr>
      </w:pPr>
      <w:r w:rsidRPr="00095262">
        <w:rPr>
          <w:b/>
          <w:bCs/>
          <w:i/>
          <w:iCs/>
          <w:sz w:val="20"/>
          <w:szCs w:val="20"/>
        </w:rPr>
        <w:t>Clinical criteria, including fever (</w:t>
      </w:r>
      <w:r w:rsidRPr="007E73B8">
        <w:rPr>
          <w:b/>
          <w:bCs/>
          <w:i/>
          <w:iCs/>
          <w:sz w:val="20"/>
          <w:szCs w:val="20"/>
        </w:rPr>
        <w:t>≥</w:t>
      </w:r>
      <w:r w:rsidRPr="00095262">
        <w:rPr>
          <w:b/>
          <w:bCs/>
          <w:i/>
          <w:iCs/>
          <w:sz w:val="20"/>
          <w:szCs w:val="20"/>
        </w:rPr>
        <w:t>101.5</w:t>
      </w:r>
      <w:r w:rsidRPr="00095262">
        <w:rPr>
          <w:rFonts w:ascii="Times New Roman" w:hAnsi="Times New Roman" w:cs="Times New Roman"/>
          <w:b/>
          <w:bCs/>
          <w:i/>
          <w:iCs/>
          <w:sz w:val="20"/>
          <w:szCs w:val="20"/>
        </w:rPr>
        <w:t>°</w:t>
      </w:r>
      <w:r w:rsidRPr="00095262">
        <w:rPr>
          <w:b/>
          <w:bCs/>
          <w:i/>
          <w:iCs/>
          <w:sz w:val="20"/>
          <w:szCs w:val="20"/>
        </w:rPr>
        <w:t>F</w:t>
      </w:r>
      <w:r w:rsidRPr="00095262">
        <w:rPr>
          <w:rFonts w:ascii="Times New Roman" w:hAnsi="Times New Roman" w:cs="Times New Roman"/>
          <w:b/>
          <w:bCs/>
          <w:i/>
          <w:iCs/>
          <w:sz w:val="20"/>
          <w:szCs w:val="20"/>
        </w:rPr>
        <w:t>)</w:t>
      </w:r>
      <w:r w:rsidRPr="00095262">
        <w:rPr>
          <w:b/>
          <w:bCs/>
          <w:i/>
          <w:iCs/>
          <w:sz w:val="20"/>
          <w:szCs w:val="20"/>
        </w:rPr>
        <w:t xml:space="preserve"> and additional symptoms such as severe headache, myalgia, vomiting, diarrhea, abdominal pain, or unexplained hemorrhage</w:t>
      </w:r>
    </w:p>
    <w:p w:rsidR="00B20677" w:rsidRPr="00095262" w:rsidRDefault="00B20677" w:rsidP="00E8376C">
      <w:pPr>
        <w:ind w:left="1080"/>
        <w:rPr>
          <w:b/>
          <w:bCs/>
          <w:sz w:val="20"/>
          <w:szCs w:val="20"/>
        </w:rPr>
      </w:pPr>
      <w:r w:rsidRPr="00095262">
        <w:rPr>
          <w:b/>
          <w:bCs/>
          <w:sz w:val="20"/>
          <w:szCs w:val="20"/>
        </w:rPr>
        <w:t>AND</w:t>
      </w:r>
    </w:p>
    <w:p w:rsidR="00B20677" w:rsidRPr="00095262" w:rsidRDefault="00B20677" w:rsidP="00E8376C">
      <w:pPr>
        <w:pStyle w:val="ListParagraph"/>
        <w:numPr>
          <w:ilvl w:val="0"/>
          <w:numId w:val="6"/>
        </w:numPr>
        <w:rPr>
          <w:b/>
          <w:bCs/>
          <w:sz w:val="20"/>
          <w:szCs w:val="20"/>
        </w:rPr>
      </w:pPr>
      <w:r w:rsidRPr="00095262">
        <w:rPr>
          <w:b/>
          <w:bCs/>
          <w:sz w:val="20"/>
          <w:szCs w:val="20"/>
        </w:rPr>
        <w:t>Epidemiologic risk factors within the past 3 weeks before the onset of symptoms, such as:</w:t>
      </w:r>
    </w:p>
    <w:p w:rsidR="00B20677" w:rsidRPr="00095262" w:rsidRDefault="00B20677" w:rsidP="00E8376C">
      <w:pPr>
        <w:pStyle w:val="ListParagraph"/>
        <w:numPr>
          <w:ilvl w:val="0"/>
          <w:numId w:val="7"/>
        </w:numPr>
        <w:rPr>
          <w:b/>
          <w:bCs/>
          <w:i/>
          <w:iCs/>
          <w:sz w:val="20"/>
          <w:szCs w:val="20"/>
        </w:rPr>
      </w:pPr>
      <w:r w:rsidRPr="00095262">
        <w:rPr>
          <w:b/>
          <w:bCs/>
          <w:i/>
          <w:iCs/>
          <w:sz w:val="20"/>
          <w:szCs w:val="20"/>
        </w:rPr>
        <w:t>Contact with blood or other body fluids of a patient known to have or suspected to have EVD;</w:t>
      </w:r>
    </w:p>
    <w:p w:rsidR="00B20677" w:rsidRPr="00095262" w:rsidRDefault="00B20677" w:rsidP="00E8376C">
      <w:pPr>
        <w:pStyle w:val="ListParagraph"/>
        <w:numPr>
          <w:ilvl w:val="0"/>
          <w:numId w:val="7"/>
        </w:numPr>
        <w:rPr>
          <w:b/>
          <w:bCs/>
          <w:i/>
          <w:iCs/>
          <w:sz w:val="20"/>
          <w:szCs w:val="20"/>
        </w:rPr>
      </w:pPr>
      <w:r w:rsidRPr="00095262">
        <w:rPr>
          <w:b/>
          <w:bCs/>
          <w:i/>
          <w:iCs/>
          <w:sz w:val="20"/>
          <w:szCs w:val="20"/>
        </w:rPr>
        <w:t xml:space="preserve">Residence in </w:t>
      </w:r>
      <w:r w:rsidRPr="007E73B8">
        <w:rPr>
          <w:b/>
          <w:bCs/>
          <w:i/>
          <w:iCs/>
          <w:sz w:val="20"/>
          <w:szCs w:val="20"/>
        </w:rPr>
        <w:t>–</w:t>
      </w:r>
      <w:r w:rsidRPr="00095262">
        <w:rPr>
          <w:b/>
          <w:bCs/>
          <w:i/>
          <w:iCs/>
          <w:sz w:val="20"/>
          <w:szCs w:val="20"/>
        </w:rPr>
        <w:t xml:space="preserve"> or travel to </w:t>
      </w:r>
      <w:r w:rsidRPr="007E73B8">
        <w:rPr>
          <w:b/>
          <w:bCs/>
          <w:i/>
          <w:iCs/>
          <w:sz w:val="20"/>
          <w:szCs w:val="20"/>
        </w:rPr>
        <w:t>–</w:t>
      </w:r>
      <w:r w:rsidRPr="00095262">
        <w:rPr>
          <w:b/>
          <w:bCs/>
          <w:i/>
          <w:iCs/>
          <w:sz w:val="20"/>
          <w:szCs w:val="20"/>
        </w:rPr>
        <w:t xml:space="preserve"> an area where EVD transmission is active (currently Guinea, Liberia, and Sierra Leone); or</w:t>
      </w:r>
    </w:p>
    <w:p w:rsidR="00B20677" w:rsidRPr="00095262" w:rsidRDefault="00B20677" w:rsidP="00E8376C">
      <w:pPr>
        <w:pStyle w:val="ListParagraph"/>
        <w:numPr>
          <w:ilvl w:val="0"/>
          <w:numId w:val="7"/>
        </w:numPr>
        <w:rPr>
          <w:b/>
          <w:bCs/>
          <w:i/>
          <w:iCs/>
          <w:sz w:val="20"/>
          <w:szCs w:val="20"/>
        </w:rPr>
      </w:pPr>
      <w:r w:rsidRPr="00095262">
        <w:rPr>
          <w:b/>
          <w:bCs/>
          <w:i/>
          <w:iCs/>
          <w:sz w:val="20"/>
          <w:szCs w:val="20"/>
        </w:rPr>
        <w:t>Direct handling of bats, rodents, or primates from disease-endemic areas</w:t>
      </w:r>
    </w:p>
    <w:p w:rsidR="00B20677" w:rsidRDefault="00B20677" w:rsidP="00542F11">
      <w:pPr>
        <w:rPr>
          <w:sz w:val="20"/>
          <w:szCs w:val="20"/>
        </w:rPr>
      </w:pPr>
    </w:p>
    <w:p w:rsidR="00B20677" w:rsidRPr="00095262" w:rsidRDefault="00B20677" w:rsidP="00542F11">
      <w:pPr>
        <w:pStyle w:val="ListParagraph"/>
        <w:numPr>
          <w:ilvl w:val="0"/>
          <w:numId w:val="4"/>
        </w:numPr>
        <w:rPr>
          <w:b/>
          <w:bCs/>
          <w:i/>
          <w:iCs/>
          <w:sz w:val="20"/>
          <w:szCs w:val="20"/>
        </w:rPr>
      </w:pPr>
      <w:r w:rsidRPr="00095262">
        <w:rPr>
          <w:b/>
          <w:bCs/>
          <w:i/>
          <w:iCs/>
          <w:sz w:val="20"/>
          <w:szCs w:val="20"/>
        </w:rPr>
        <w:t>Malaria diagnostics should also be a part of initial testing because it is a common cause of febrile illness in persons with a travel history to the affected counties.</w:t>
      </w:r>
    </w:p>
    <w:p w:rsidR="00B20677" w:rsidRDefault="00B20677" w:rsidP="00393A7C">
      <w:pPr>
        <w:rPr>
          <w:sz w:val="20"/>
          <w:szCs w:val="20"/>
        </w:rPr>
      </w:pPr>
    </w:p>
    <w:p w:rsidR="00B20677" w:rsidRDefault="00B20677" w:rsidP="00C91710">
      <w:pPr>
        <w:rPr>
          <w:sz w:val="20"/>
          <w:szCs w:val="20"/>
        </w:rPr>
      </w:pPr>
      <w:r w:rsidRPr="00095262">
        <w:rPr>
          <w:b/>
          <w:bCs/>
          <w:sz w:val="20"/>
          <w:szCs w:val="20"/>
        </w:rPr>
        <w:t>Process for Suspect Cases</w:t>
      </w:r>
      <w:r w:rsidRPr="00E8376C">
        <w:rPr>
          <w:sz w:val="20"/>
          <w:szCs w:val="20"/>
        </w:rPr>
        <w:t>:</w:t>
      </w:r>
    </w:p>
    <w:p w:rsidR="00B20677" w:rsidRPr="00E8376C" w:rsidRDefault="00B20677" w:rsidP="00C91710">
      <w:pPr>
        <w:rPr>
          <w:sz w:val="20"/>
          <w:szCs w:val="20"/>
        </w:rPr>
      </w:pPr>
      <w:r w:rsidRPr="00E8376C">
        <w:rPr>
          <w:sz w:val="20"/>
          <w:szCs w:val="20"/>
        </w:rPr>
        <w:t>All suspect cases should be immediately reported to the Michigan Department of Community Health (MDCH) for evaluation and/or diagnostic testing:</w:t>
      </w:r>
    </w:p>
    <w:p w:rsidR="00B20677" w:rsidRPr="00E8376C" w:rsidRDefault="00B20677" w:rsidP="00C91710">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0"/>
        <w:gridCol w:w="7434"/>
      </w:tblGrid>
      <w:tr w:rsidR="00B20677" w:rsidRPr="00E8376C">
        <w:tc>
          <w:tcPr>
            <w:tcW w:w="2610" w:type="dxa"/>
            <w:vMerge w:val="restart"/>
            <w:vAlign w:val="center"/>
          </w:tcPr>
          <w:p w:rsidR="00B20677" w:rsidRPr="00A32EF1" w:rsidRDefault="00B20677" w:rsidP="00017BA9">
            <w:pPr>
              <w:rPr>
                <w:sz w:val="20"/>
                <w:szCs w:val="20"/>
                <w:highlight w:val="yellow"/>
              </w:rPr>
            </w:pPr>
            <w:r w:rsidRPr="00A32EF1">
              <w:rPr>
                <w:sz w:val="20"/>
                <w:szCs w:val="20"/>
                <w:highlight w:val="yellow"/>
              </w:rPr>
              <w:t>MDCH Communicable Disease Division</w:t>
            </w:r>
          </w:p>
        </w:tc>
        <w:tc>
          <w:tcPr>
            <w:tcW w:w="7434" w:type="dxa"/>
            <w:vAlign w:val="center"/>
          </w:tcPr>
          <w:p w:rsidR="00B20677" w:rsidRPr="00A32EF1" w:rsidRDefault="00B20677" w:rsidP="00017BA9">
            <w:pPr>
              <w:rPr>
                <w:sz w:val="20"/>
                <w:szCs w:val="20"/>
                <w:highlight w:val="yellow"/>
              </w:rPr>
            </w:pPr>
            <w:r w:rsidRPr="00A32EF1">
              <w:rPr>
                <w:sz w:val="20"/>
                <w:szCs w:val="20"/>
                <w:highlight w:val="yellow"/>
              </w:rPr>
              <w:t>Monday-Friday 8:00 a.m. – 5:00 p.m.:</w:t>
            </w:r>
          </w:p>
          <w:p w:rsidR="00B20677" w:rsidRPr="00A32EF1" w:rsidRDefault="00B20677" w:rsidP="00017BA9">
            <w:pPr>
              <w:rPr>
                <w:sz w:val="20"/>
                <w:szCs w:val="20"/>
                <w:highlight w:val="yellow"/>
              </w:rPr>
            </w:pPr>
            <w:r w:rsidRPr="00A32EF1">
              <w:rPr>
                <w:sz w:val="20"/>
                <w:szCs w:val="20"/>
                <w:highlight w:val="yellow"/>
              </w:rPr>
              <w:t>517-335-8165</w:t>
            </w:r>
          </w:p>
        </w:tc>
      </w:tr>
      <w:tr w:rsidR="00B20677" w:rsidRPr="00E8376C">
        <w:tc>
          <w:tcPr>
            <w:tcW w:w="2610" w:type="dxa"/>
            <w:vMerge/>
            <w:vAlign w:val="center"/>
          </w:tcPr>
          <w:p w:rsidR="00B20677" w:rsidRPr="00A32EF1" w:rsidRDefault="00B20677" w:rsidP="00017BA9">
            <w:pPr>
              <w:rPr>
                <w:sz w:val="20"/>
                <w:szCs w:val="20"/>
                <w:highlight w:val="yellow"/>
              </w:rPr>
            </w:pPr>
          </w:p>
        </w:tc>
        <w:tc>
          <w:tcPr>
            <w:tcW w:w="7434" w:type="dxa"/>
            <w:vAlign w:val="center"/>
          </w:tcPr>
          <w:p w:rsidR="00B20677" w:rsidRPr="00A32EF1" w:rsidRDefault="00B20677" w:rsidP="00017BA9">
            <w:pPr>
              <w:rPr>
                <w:sz w:val="20"/>
                <w:szCs w:val="20"/>
                <w:highlight w:val="yellow"/>
              </w:rPr>
            </w:pPr>
            <w:r w:rsidRPr="00A32EF1">
              <w:rPr>
                <w:sz w:val="20"/>
                <w:szCs w:val="20"/>
                <w:highlight w:val="yellow"/>
              </w:rPr>
              <w:t>Weekends and off-hours:</w:t>
            </w:r>
          </w:p>
          <w:p w:rsidR="00B20677" w:rsidRPr="00A32EF1" w:rsidRDefault="00B20677" w:rsidP="00017BA9">
            <w:pPr>
              <w:rPr>
                <w:sz w:val="20"/>
                <w:szCs w:val="20"/>
                <w:highlight w:val="yellow"/>
              </w:rPr>
            </w:pPr>
            <w:r w:rsidRPr="00A32EF1">
              <w:rPr>
                <w:sz w:val="20"/>
                <w:szCs w:val="20"/>
                <w:highlight w:val="yellow"/>
              </w:rPr>
              <w:t>517-335-9030</w:t>
            </w:r>
          </w:p>
        </w:tc>
      </w:tr>
      <w:tr w:rsidR="00B20677" w:rsidRPr="00E8376C">
        <w:tc>
          <w:tcPr>
            <w:tcW w:w="2610" w:type="dxa"/>
            <w:vMerge/>
            <w:vAlign w:val="center"/>
          </w:tcPr>
          <w:p w:rsidR="00B20677" w:rsidRPr="00A32EF1" w:rsidRDefault="00B20677" w:rsidP="00017BA9">
            <w:pPr>
              <w:rPr>
                <w:sz w:val="20"/>
                <w:szCs w:val="20"/>
                <w:highlight w:val="yellow"/>
              </w:rPr>
            </w:pPr>
          </w:p>
        </w:tc>
        <w:tc>
          <w:tcPr>
            <w:tcW w:w="7434" w:type="dxa"/>
            <w:vAlign w:val="center"/>
          </w:tcPr>
          <w:p w:rsidR="00B20677" w:rsidRPr="00A32EF1" w:rsidRDefault="00B20677" w:rsidP="0029475B">
            <w:pPr>
              <w:rPr>
                <w:sz w:val="20"/>
                <w:szCs w:val="20"/>
                <w:highlight w:val="yellow"/>
              </w:rPr>
            </w:pPr>
            <w:r w:rsidRPr="00A32EF1">
              <w:rPr>
                <w:sz w:val="20"/>
                <w:szCs w:val="20"/>
                <w:highlight w:val="yellow"/>
              </w:rPr>
              <w:t>Fax for MDCH Supplemental EVD Case Investigation Form:  517-335-8263</w:t>
            </w:r>
          </w:p>
        </w:tc>
      </w:tr>
      <w:tr w:rsidR="00B20677" w:rsidRPr="00E8376C">
        <w:tc>
          <w:tcPr>
            <w:tcW w:w="2610" w:type="dxa"/>
            <w:vAlign w:val="center"/>
          </w:tcPr>
          <w:p w:rsidR="00B20677" w:rsidRPr="00A32EF1" w:rsidRDefault="00B20677" w:rsidP="0029475B">
            <w:pPr>
              <w:rPr>
                <w:sz w:val="20"/>
                <w:szCs w:val="20"/>
                <w:highlight w:val="yellow"/>
              </w:rPr>
            </w:pPr>
            <w:r w:rsidRPr="00A32EF1">
              <w:rPr>
                <w:sz w:val="20"/>
                <w:szCs w:val="20"/>
                <w:highlight w:val="yellow"/>
              </w:rPr>
              <w:t>Laboratory testing information</w:t>
            </w:r>
          </w:p>
        </w:tc>
        <w:tc>
          <w:tcPr>
            <w:tcW w:w="7434" w:type="dxa"/>
            <w:vAlign w:val="center"/>
          </w:tcPr>
          <w:p w:rsidR="00B20677" w:rsidRPr="00A32EF1" w:rsidRDefault="00B20677" w:rsidP="00017BA9">
            <w:pPr>
              <w:rPr>
                <w:sz w:val="20"/>
                <w:szCs w:val="20"/>
                <w:highlight w:val="yellow"/>
              </w:rPr>
            </w:pPr>
            <w:r w:rsidRPr="00A32EF1">
              <w:rPr>
                <w:sz w:val="20"/>
                <w:szCs w:val="20"/>
                <w:highlight w:val="yellow"/>
              </w:rPr>
              <w:t>Janice Matthew Greer, MDCH Virology Section:  517-335-8099</w:t>
            </w:r>
          </w:p>
        </w:tc>
      </w:tr>
    </w:tbl>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Default="00B20677" w:rsidP="00C91710">
      <w:pPr>
        <w:rPr>
          <w:sz w:val="20"/>
          <w:szCs w:val="20"/>
        </w:rPr>
      </w:pPr>
    </w:p>
    <w:p w:rsidR="00B20677" w:rsidRPr="00E8376C" w:rsidRDefault="00B20677" w:rsidP="00C91710">
      <w:pPr>
        <w:rPr>
          <w:sz w:val="20"/>
          <w:szCs w:val="20"/>
        </w:rPr>
      </w:pPr>
    </w:p>
    <w:p w:rsidR="00B20677" w:rsidRDefault="00B20677" w:rsidP="00393A7C">
      <w:pPr>
        <w:rPr>
          <w:sz w:val="20"/>
          <w:szCs w:val="20"/>
        </w:rPr>
      </w:pPr>
      <w:r>
        <w:rPr>
          <w:sz w:val="20"/>
          <w:szCs w:val="20"/>
        </w:rPr>
        <w:t>Diagnostic Testing Criteria:</w:t>
      </w:r>
    </w:p>
    <w:p w:rsidR="00B20677" w:rsidRDefault="00B20677" w:rsidP="00393A7C">
      <w:pPr>
        <w:rPr>
          <w:sz w:val="20"/>
          <w:szCs w:val="20"/>
        </w:rPr>
      </w:pPr>
      <w:r>
        <w:rPr>
          <w:sz w:val="20"/>
          <w:szCs w:val="20"/>
        </w:rPr>
        <w:t xml:space="preserve">Testing of patients with suspected EVD should be guided by the risk level of exposure.  Based on the following criteria, if testing is indicated, </w:t>
      </w:r>
      <w:r>
        <w:rPr>
          <w:b/>
          <w:bCs/>
          <w:sz w:val="20"/>
          <w:szCs w:val="20"/>
        </w:rPr>
        <w:t>notify MDCH immediately at the numbers listed above</w:t>
      </w:r>
      <w:r>
        <w:rPr>
          <w:sz w:val="20"/>
          <w:szCs w:val="20"/>
        </w:rPr>
        <w:t>.</w:t>
      </w:r>
    </w:p>
    <w:p w:rsidR="00B20677" w:rsidRDefault="00B20677" w:rsidP="00393A7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0"/>
        <w:gridCol w:w="7020"/>
      </w:tblGrid>
      <w:tr w:rsidR="00B20677">
        <w:tc>
          <w:tcPr>
            <w:tcW w:w="10890" w:type="dxa"/>
            <w:gridSpan w:val="2"/>
            <w:vAlign w:val="center"/>
          </w:tcPr>
          <w:p w:rsidR="00B20677" w:rsidRPr="0081788B" w:rsidRDefault="00B20677" w:rsidP="006872BF">
            <w:pPr>
              <w:rPr>
                <w:sz w:val="20"/>
                <w:szCs w:val="20"/>
              </w:rPr>
            </w:pPr>
          </w:p>
          <w:p w:rsidR="00B20677" w:rsidRPr="0081788B" w:rsidRDefault="00B20677" w:rsidP="006872BF">
            <w:pPr>
              <w:rPr>
                <w:sz w:val="20"/>
                <w:szCs w:val="20"/>
              </w:rPr>
            </w:pPr>
            <w:r w:rsidRPr="0081788B">
              <w:rPr>
                <w:sz w:val="20"/>
                <w:szCs w:val="20"/>
              </w:rPr>
              <w:t>Asymptomatic persons with high-or low-risk exposures should be monitored daily for fever and symptoms for 21 days from the last known exposure and evaluated medically at the first indication of illness.</w:t>
            </w:r>
          </w:p>
          <w:p w:rsidR="00B20677" w:rsidRPr="0081788B" w:rsidRDefault="00B20677" w:rsidP="006872BF">
            <w:pPr>
              <w:rPr>
                <w:sz w:val="20"/>
                <w:szCs w:val="20"/>
              </w:rPr>
            </w:pPr>
          </w:p>
        </w:tc>
      </w:tr>
      <w:tr w:rsidR="00B20677">
        <w:tc>
          <w:tcPr>
            <w:tcW w:w="3870" w:type="dxa"/>
            <w:vMerge w:val="restart"/>
            <w:shd w:val="clear" w:color="auto" w:fill="DBE5F1"/>
            <w:vAlign w:val="center"/>
          </w:tcPr>
          <w:p w:rsidR="00B20677" w:rsidRPr="0081788B" w:rsidRDefault="00B20677" w:rsidP="00393A7C">
            <w:pPr>
              <w:rPr>
                <w:b/>
                <w:bCs/>
                <w:sz w:val="20"/>
                <w:szCs w:val="20"/>
                <w:u w:val="single"/>
              </w:rPr>
            </w:pPr>
            <w:r w:rsidRPr="0081788B">
              <w:rPr>
                <w:b/>
                <w:bCs/>
                <w:sz w:val="20"/>
                <w:szCs w:val="20"/>
                <w:u w:val="single"/>
              </w:rPr>
              <w:t>High-risk exposure:</w:t>
            </w:r>
          </w:p>
          <w:p w:rsidR="00B20677" w:rsidRPr="0081788B" w:rsidRDefault="00B20677" w:rsidP="00393A7C">
            <w:pPr>
              <w:rPr>
                <w:sz w:val="20"/>
                <w:szCs w:val="20"/>
              </w:rPr>
            </w:pPr>
            <w:r w:rsidRPr="0081788B">
              <w:rPr>
                <w:sz w:val="20"/>
                <w:szCs w:val="20"/>
              </w:rPr>
              <w:t>CDC recommends testing for all persons with onset of fever within 21 days of having a high-risk exposure</w:t>
            </w:r>
          </w:p>
          <w:p w:rsidR="00B20677" w:rsidRPr="0081788B" w:rsidRDefault="00B20677" w:rsidP="00393A7C">
            <w:pPr>
              <w:rPr>
                <w:sz w:val="20"/>
                <w:szCs w:val="20"/>
              </w:rPr>
            </w:pPr>
          </w:p>
          <w:p w:rsidR="00B20677" w:rsidRPr="0081788B" w:rsidRDefault="00B20677" w:rsidP="00393A7C">
            <w:pPr>
              <w:rPr>
                <w:sz w:val="20"/>
                <w:szCs w:val="20"/>
              </w:rPr>
            </w:pPr>
            <w:r w:rsidRPr="0081788B">
              <w:rPr>
                <w:sz w:val="20"/>
                <w:szCs w:val="20"/>
              </w:rPr>
              <w:t>For persons with a high-risk exposure but without a fever, testing is recommended only if there are other compatible clinical symptoms present and blood work findings are abnormal or unknown.</w:t>
            </w:r>
          </w:p>
        </w:tc>
        <w:tc>
          <w:tcPr>
            <w:tcW w:w="7020" w:type="dxa"/>
            <w:shd w:val="clear" w:color="auto" w:fill="DBE5F1"/>
            <w:vAlign w:val="center"/>
          </w:tcPr>
          <w:p w:rsidR="00B20677" w:rsidRPr="0081788B" w:rsidRDefault="00B20677" w:rsidP="0081788B">
            <w:pPr>
              <w:pStyle w:val="ListParagraph"/>
              <w:numPr>
                <w:ilvl w:val="0"/>
                <w:numId w:val="9"/>
              </w:numPr>
              <w:rPr>
                <w:sz w:val="20"/>
                <w:szCs w:val="20"/>
              </w:rPr>
            </w:pPr>
            <w:r w:rsidRPr="0081788B">
              <w:rPr>
                <w:sz w:val="20"/>
                <w:szCs w:val="20"/>
              </w:rPr>
              <w:t>Percutaneous or mucous membrane exposure or direct skin contact with body fluids of a person with a confirmed or suspected case of EVD without appropriate Personal Protective Equipment (PPE)</w:t>
            </w:r>
          </w:p>
        </w:tc>
      </w:tr>
      <w:tr w:rsidR="00B20677">
        <w:tc>
          <w:tcPr>
            <w:tcW w:w="3870" w:type="dxa"/>
            <w:vMerge/>
            <w:shd w:val="clear" w:color="auto" w:fill="DBE5F1"/>
            <w:vAlign w:val="center"/>
          </w:tcPr>
          <w:p w:rsidR="00B20677" w:rsidRPr="0081788B" w:rsidRDefault="00B20677" w:rsidP="00393A7C">
            <w:pPr>
              <w:rPr>
                <w:sz w:val="20"/>
                <w:szCs w:val="20"/>
              </w:rPr>
            </w:pPr>
          </w:p>
        </w:tc>
        <w:tc>
          <w:tcPr>
            <w:tcW w:w="7020" w:type="dxa"/>
            <w:shd w:val="clear" w:color="auto" w:fill="DBE5F1"/>
            <w:vAlign w:val="center"/>
          </w:tcPr>
          <w:p w:rsidR="00B20677" w:rsidRPr="0081788B" w:rsidRDefault="00B20677" w:rsidP="0081788B">
            <w:pPr>
              <w:pStyle w:val="ListParagraph"/>
              <w:numPr>
                <w:ilvl w:val="0"/>
                <w:numId w:val="9"/>
              </w:numPr>
              <w:rPr>
                <w:sz w:val="20"/>
                <w:szCs w:val="20"/>
              </w:rPr>
            </w:pPr>
            <w:r w:rsidRPr="0081788B">
              <w:rPr>
                <w:sz w:val="20"/>
                <w:szCs w:val="20"/>
              </w:rPr>
              <w:t>Laboratory processing of body fluids of suspected or confirmed EVD cases without appropriate PPE or standard biosafety precautions, or</w:t>
            </w:r>
          </w:p>
        </w:tc>
      </w:tr>
      <w:tr w:rsidR="00B20677">
        <w:tc>
          <w:tcPr>
            <w:tcW w:w="3870" w:type="dxa"/>
            <w:vMerge/>
            <w:shd w:val="clear" w:color="auto" w:fill="DBE5F1"/>
            <w:vAlign w:val="center"/>
          </w:tcPr>
          <w:p w:rsidR="00B20677" w:rsidRPr="0081788B" w:rsidRDefault="00B20677" w:rsidP="00393A7C">
            <w:pPr>
              <w:rPr>
                <w:sz w:val="20"/>
                <w:szCs w:val="20"/>
              </w:rPr>
            </w:pPr>
          </w:p>
        </w:tc>
        <w:tc>
          <w:tcPr>
            <w:tcW w:w="7020" w:type="dxa"/>
            <w:shd w:val="clear" w:color="auto" w:fill="DBE5F1"/>
            <w:vAlign w:val="center"/>
          </w:tcPr>
          <w:p w:rsidR="00B20677" w:rsidRPr="0081788B" w:rsidRDefault="00B20677" w:rsidP="0081788B">
            <w:pPr>
              <w:pStyle w:val="ListParagraph"/>
              <w:numPr>
                <w:ilvl w:val="0"/>
                <w:numId w:val="9"/>
              </w:numPr>
              <w:rPr>
                <w:sz w:val="20"/>
                <w:szCs w:val="20"/>
              </w:rPr>
            </w:pPr>
            <w:r w:rsidRPr="0081788B">
              <w:rPr>
                <w:sz w:val="20"/>
                <w:szCs w:val="20"/>
              </w:rPr>
              <w:t>Participation in funeral rites or other direct exposure to human remains in the geographic area where the outbreak is occurring without the appropriate PPE</w:t>
            </w:r>
          </w:p>
        </w:tc>
      </w:tr>
      <w:tr w:rsidR="00B20677">
        <w:tc>
          <w:tcPr>
            <w:tcW w:w="3870" w:type="dxa"/>
            <w:vMerge w:val="restart"/>
            <w:shd w:val="clear" w:color="auto" w:fill="EAF1DD"/>
            <w:vAlign w:val="center"/>
          </w:tcPr>
          <w:p w:rsidR="00B20677" w:rsidRPr="0081788B" w:rsidRDefault="00B20677" w:rsidP="00393A7C">
            <w:pPr>
              <w:rPr>
                <w:b/>
                <w:bCs/>
                <w:sz w:val="20"/>
                <w:szCs w:val="20"/>
              </w:rPr>
            </w:pPr>
            <w:r w:rsidRPr="0081788B">
              <w:rPr>
                <w:b/>
                <w:bCs/>
                <w:sz w:val="20"/>
                <w:szCs w:val="20"/>
                <w:u w:val="single"/>
              </w:rPr>
              <w:t>Low-risk exposure:</w:t>
            </w:r>
          </w:p>
          <w:p w:rsidR="00B20677" w:rsidRPr="0081788B" w:rsidRDefault="00B20677" w:rsidP="00393A7C">
            <w:pPr>
              <w:rPr>
                <w:sz w:val="20"/>
                <w:szCs w:val="20"/>
              </w:rPr>
            </w:pPr>
            <w:r w:rsidRPr="0081788B">
              <w:rPr>
                <w:sz w:val="20"/>
                <w:szCs w:val="20"/>
              </w:rPr>
              <w:t>Testing is recommended for persons with low-risk exposure who develop fever and either:</w:t>
            </w:r>
          </w:p>
          <w:p w:rsidR="00B20677" w:rsidRPr="0081788B" w:rsidRDefault="00B20677" w:rsidP="0081788B">
            <w:pPr>
              <w:pStyle w:val="ListParagraph"/>
              <w:numPr>
                <w:ilvl w:val="0"/>
                <w:numId w:val="11"/>
              </w:numPr>
              <w:rPr>
                <w:sz w:val="20"/>
                <w:szCs w:val="20"/>
              </w:rPr>
            </w:pPr>
            <w:r w:rsidRPr="0081788B">
              <w:rPr>
                <w:sz w:val="20"/>
                <w:szCs w:val="20"/>
              </w:rPr>
              <w:t>Other symptoms and unknown or abnormal blood work findings</w:t>
            </w:r>
          </w:p>
          <w:p w:rsidR="00B20677" w:rsidRPr="0081788B" w:rsidRDefault="00B20677" w:rsidP="0081788B">
            <w:pPr>
              <w:ind w:left="360"/>
              <w:rPr>
                <w:sz w:val="20"/>
                <w:szCs w:val="20"/>
              </w:rPr>
            </w:pPr>
            <w:r w:rsidRPr="0081788B">
              <w:rPr>
                <w:sz w:val="20"/>
                <w:szCs w:val="20"/>
              </w:rPr>
              <w:t>OR</w:t>
            </w:r>
          </w:p>
          <w:p w:rsidR="00B20677" w:rsidRPr="0081788B" w:rsidRDefault="00B20677" w:rsidP="0081788B">
            <w:pPr>
              <w:pStyle w:val="ListParagraph"/>
              <w:numPr>
                <w:ilvl w:val="0"/>
                <w:numId w:val="11"/>
              </w:numPr>
              <w:rPr>
                <w:sz w:val="20"/>
                <w:szCs w:val="20"/>
              </w:rPr>
            </w:pPr>
            <w:r w:rsidRPr="0081788B">
              <w:rPr>
                <w:sz w:val="20"/>
                <w:szCs w:val="20"/>
              </w:rPr>
              <w:t>Abnormal blood work findings, but no other symptoms</w:t>
            </w:r>
          </w:p>
        </w:tc>
        <w:tc>
          <w:tcPr>
            <w:tcW w:w="7020" w:type="dxa"/>
            <w:shd w:val="clear" w:color="auto" w:fill="EAF1DD"/>
            <w:vAlign w:val="center"/>
          </w:tcPr>
          <w:p w:rsidR="00B20677" w:rsidRPr="0081788B" w:rsidRDefault="00B20677" w:rsidP="0081788B">
            <w:pPr>
              <w:pStyle w:val="ListParagraph"/>
              <w:numPr>
                <w:ilvl w:val="0"/>
                <w:numId w:val="10"/>
              </w:numPr>
              <w:rPr>
                <w:sz w:val="20"/>
                <w:szCs w:val="20"/>
              </w:rPr>
            </w:pPr>
            <w:r w:rsidRPr="0081788B">
              <w:rPr>
                <w:sz w:val="20"/>
                <w:szCs w:val="20"/>
              </w:rPr>
              <w:t>Persons who spent time in a healthcare facility where EVD patients are being treated (encompassing healthcare workers who used appropriate PPE, employees not involved in direct patient care, or other hospital patients who did not have EVD and their family caretakers)</w:t>
            </w:r>
          </w:p>
        </w:tc>
      </w:tr>
      <w:tr w:rsidR="00B20677">
        <w:tc>
          <w:tcPr>
            <w:tcW w:w="3870" w:type="dxa"/>
            <w:vMerge/>
            <w:shd w:val="clear" w:color="auto" w:fill="EAF1DD"/>
            <w:vAlign w:val="center"/>
          </w:tcPr>
          <w:p w:rsidR="00B20677" w:rsidRPr="0081788B" w:rsidRDefault="00B20677" w:rsidP="00393A7C">
            <w:pPr>
              <w:rPr>
                <w:sz w:val="20"/>
                <w:szCs w:val="20"/>
              </w:rPr>
            </w:pPr>
          </w:p>
        </w:tc>
        <w:tc>
          <w:tcPr>
            <w:tcW w:w="7020" w:type="dxa"/>
            <w:shd w:val="clear" w:color="auto" w:fill="EAF1DD"/>
            <w:vAlign w:val="center"/>
          </w:tcPr>
          <w:p w:rsidR="00B20677" w:rsidRPr="0081788B" w:rsidRDefault="00B20677" w:rsidP="0081788B">
            <w:pPr>
              <w:pStyle w:val="ListParagraph"/>
              <w:numPr>
                <w:ilvl w:val="0"/>
                <w:numId w:val="10"/>
              </w:numPr>
              <w:rPr>
                <w:sz w:val="20"/>
                <w:szCs w:val="20"/>
              </w:rPr>
            </w:pPr>
            <w:r w:rsidRPr="0081788B">
              <w:rPr>
                <w:sz w:val="20"/>
                <w:szCs w:val="20"/>
              </w:rPr>
              <w:t>Household members of an EVD patient without high-risk exposures as defined above</w:t>
            </w:r>
          </w:p>
        </w:tc>
      </w:tr>
      <w:tr w:rsidR="00B20677">
        <w:tc>
          <w:tcPr>
            <w:tcW w:w="3870" w:type="dxa"/>
            <w:vMerge/>
            <w:shd w:val="clear" w:color="auto" w:fill="EAF1DD"/>
            <w:vAlign w:val="center"/>
          </w:tcPr>
          <w:p w:rsidR="00B20677" w:rsidRPr="0081788B" w:rsidRDefault="00B20677" w:rsidP="00393A7C">
            <w:pPr>
              <w:rPr>
                <w:sz w:val="20"/>
                <w:szCs w:val="20"/>
              </w:rPr>
            </w:pPr>
          </w:p>
        </w:tc>
        <w:tc>
          <w:tcPr>
            <w:tcW w:w="7020" w:type="dxa"/>
            <w:shd w:val="clear" w:color="auto" w:fill="EAF1DD"/>
            <w:vAlign w:val="center"/>
          </w:tcPr>
          <w:p w:rsidR="00B20677" w:rsidRPr="0081788B" w:rsidRDefault="00B20677" w:rsidP="0081788B">
            <w:pPr>
              <w:pStyle w:val="ListParagraph"/>
              <w:numPr>
                <w:ilvl w:val="0"/>
                <w:numId w:val="10"/>
              </w:numPr>
              <w:rPr>
                <w:sz w:val="20"/>
                <w:szCs w:val="20"/>
              </w:rPr>
            </w:pPr>
            <w:r w:rsidRPr="0081788B">
              <w:rPr>
                <w:sz w:val="20"/>
                <w:szCs w:val="20"/>
              </w:rPr>
              <w:t>Persons who had direct unprotected contact with bats or primates from EVD-affected countries would also be considered to have low-risk exposure</w:t>
            </w:r>
          </w:p>
        </w:tc>
      </w:tr>
      <w:tr w:rsidR="00B20677">
        <w:tc>
          <w:tcPr>
            <w:tcW w:w="3870" w:type="dxa"/>
            <w:shd w:val="clear" w:color="auto" w:fill="F2F2F2"/>
            <w:vAlign w:val="center"/>
          </w:tcPr>
          <w:p w:rsidR="00B20677" w:rsidRPr="0081788B" w:rsidRDefault="00B20677" w:rsidP="00393A7C">
            <w:pPr>
              <w:rPr>
                <w:b/>
                <w:bCs/>
                <w:sz w:val="20"/>
                <w:szCs w:val="20"/>
              </w:rPr>
            </w:pPr>
            <w:r w:rsidRPr="0081788B">
              <w:rPr>
                <w:b/>
                <w:bCs/>
                <w:sz w:val="20"/>
                <w:szCs w:val="20"/>
                <w:u w:val="single"/>
              </w:rPr>
              <w:t>No known exposure:</w:t>
            </w:r>
          </w:p>
          <w:p w:rsidR="00B20677" w:rsidRPr="0081788B" w:rsidRDefault="00B20677" w:rsidP="00393A7C">
            <w:pPr>
              <w:rPr>
                <w:sz w:val="20"/>
                <w:szCs w:val="20"/>
              </w:rPr>
            </w:pPr>
            <w:r w:rsidRPr="0081788B">
              <w:rPr>
                <w:sz w:val="20"/>
                <w:szCs w:val="20"/>
              </w:rPr>
              <w:t>Contact MDCH for evaluation regarding testing for persons who have traveled to an EVD-affected country within 21 days but do not meet the criteria for high-or low-risk exposure above.</w:t>
            </w:r>
          </w:p>
        </w:tc>
        <w:tc>
          <w:tcPr>
            <w:tcW w:w="7020" w:type="dxa"/>
            <w:shd w:val="clear" w:color="auto" w:fill="F2F2F2"/>
            <w:vAlign w:val="center"/>
          </w:tcPr>
          <w:p w:rsidR="00B20677" w:rsidRPr="0081788B" w:rsidRDefault="00B20677" w:rsidP="0081788B">
            <w:pPr>
              <w:pStyle w:val="ListParagraph"/>
              <w:numPr>
                <w:ilvl w:val="0"/>
                <w:numId w:val="12"/>
              </w:numPr>
              <w:rPr>
                <w:sz w:val="20"/>
                <w:szCs w:val="20"/>
              </w:rPr>
            </w:pPr>
            <w:r w:rsidRPr="0081788B">
              <w:rPr>
                <w:sz w:val="20"/>
                <w:szCs w:val="20"/>
              </w:rPr>
              <w:t>Persons with no known exposure who were present in an EVD outbreak-affected country in the past 21 days with no low-risk or high-risk exposures</w:t>
            </w:r>
          </w:p>
        </w:tc>
      </w:tr>
    </w:tbl>
    <w:p w:rsidR="00B20677" w:rsidRPr="00393A7C" w:rsidRDefault="00B20677" w:rsidP="00393A7C">
      <w:pPr>
        <w:rPr>
          <w:sz w:val="20"/>
          <w:szCs w:val="20"/>
        </w:rPr>
      </w:pPr>
    </w:p>
    <w:p w:rsidR="00B20677" w:rsidRDefault="00B20677" w:rsidP="00AA7D6E">
      <w:pPr>
        <w:rPr>
          <w:b/>
          <w:bCs/>
          <w:sz w:val="20"/>
          <w:szCs w:val="20"/>
        </w:rPr>
      </w:pPr>
      <w:r w:rsidRPr="00095262">
        <w:rPr>
          <w:b/>
          <w:bCs/>
          <w:sz w:val="20"/>
          <w:szCs w:val="20"/>
        </w:rPr>
        <w:t>Laboratory Specimen Guidance</w:t>
      </w:r>
      <w:r>
        <w:rPr>
          <w:b/>
          <w:bCs/>
          <w:sz w:val="20"/>
          <w:szCs w:val="20"/>
        </w:rPr>
        <w:t>:</w:t>
      </w:r>
    </w:p>
    <w:p w:rsidR="00B20677" w:rsidRDefault="00B20677" w:rsidP="00DB2ACF">
      <w:pPr>
        <w:rPr>
          <w:sz w:val="20"/>
          <w:szCs w:val="20"/>
        </w:rPr>
      </w:pPr>
      <w:r>
        <w:rPr>
          <w:sz w:val="20"/>
          <w:szCs w:val="20"/>
        </w:rPr>
        <w:t>If testing is indicated:</w:t>
      </w:r>
    </w:p>
    <w:p w:rsidR="00B20677" w:rsidRDefault="00B20677" w:rsidP="00C91710">
      <w:pPr>
        <w:pStyle w:val="ListParagraph"/>
        <w:numPr>
          <w:ilvl w:val="0"/>
          <w:numId w:val="13"/>
        </w:numPr>
        <w:rPr>
          <w:sz w:val="20"/>
          <w:szCs w:val="20"/>
        </w:rPr>
      </w:pPr>
      <w:r>
        <w:rPr>
          <w:sz w:val="20"/>
          <w:szCs w:val="20"/>
        </w:rPr>
        <w:t>Immediately notify MDCH.  Contact MDCH Bureau of Laboratories before any specimens are collected and submitted.</w:t>
      </w:r>
    </w:p>
    <w:p w:rsidR="00B20677" w:rsidRDefault="00B20677" w:rsidP="00C91710">
      <w:pPr>
        <w:pStyle w:val="ListParagraph"/>
        <w:numPr>
          <w:ilvl w:val="0"/>
          <w:numId w:val="13"/>
        </w:numPr>
        <w:rPr>
          <w:sz w:val="20"/>
          <w:szCs w:val="20"/>
        </w:rPr>
      </w:pPr>
      <w:r>
        <w:rPr>
          <w:sz w:val="20"/>
          <w:szCs w:val="20"/>
        </w:rPr>
        <w:t xml:space="preserve">Minimum volume of 4mL whole blood preserved with EDTA (purple top) in </w:t>
      </w:r>
      <w:r>
        <w:rPr>
          <w:i/>
          <w:iCs/>
          <w:sz w:val="20"/>
          <w:szCs w:val="20"/>
        </w:rPr>
        <w:t>plastic</w:t>
      </w:r>
      <w:r>
        <w:rPr>
          <w:sz w:val="20"/>
          <w:szCs w:val="20"/>
        </w:rPr>
        <w:t xml:space="preserve"> (NOT GLASS) collection tubes can be submitted to MDCH Bureau of Laboratories for EVD testing</w:t>
      </w:r>
    </w:p>
    <w:p w:rsidR="00B20677" w:rsidRDefault="00B20677" w:rsidP="00C91710">
      <w:pPr>
        <w:pStyle w:val="ListParagraph"/>
        <w:numPr>
          <w:ilvl w:val="0"/>
          <w:numId w:val="13"/>
        </w:numPr>
        <w:rPr>
          <w:sz w:val="20"/>
          <w:szCs w:val="20"/>
        </w:rPr>
      </w:pPr>
      <w:r>
        <w:rPr>
          <w:sz w:val="20"/>
          <w:szCs w:val="20"/>
        </w:rPr>
        <w:t>Standard labeling should be applied for each specimen.</w:t>
      </w:r>
    </w:p>
    <w:p w:rsidR="00B20677" w:rsidRDefault="00B20677" w:rsidP="00C91710">
      <w:pPr>
        <w:pStyle w:val="ListParagraph"/>
        <w:numPr>
          <w:ilvl w:val="0"/>
          <w:numId w:val="13"/>
        </w:numPr>
        <w:rPr>
          <w:sz w:val="20"/>
          <w:szCs w:val="20"/>
        </w:rPr>
      </w:pPr>
      <w:r>
        <w:rPr>
          <w:sz w:val="20"/>
          <w:szCs w:val="20"/>
        </w:rPr>
        <w:t>Both the MDCH and the CDC submission forms are to be completed for specimen testing:</w:t>
      </w:r>
    </w:p>
    <w:p w:rsidR="00B20677" w:rsidRDefault="00B20677" w:rsidP="00C91710">
      <w:pPr>
        <w:pStyle w:val="ListParagraph"/>
        <w:numPr>
          <w:ilvl w:val="1"/>
          <w:numId w:val="13"/>
        </w:numPr>
        <w:rPr>
          <w:sz w:val="20"/>
          <w:szCs w:val="20"/>
        </w:rPr>
      </w:pPr>
      <w:r>
        <w:rPr>
          <w:sz w:val="20"/>
          <w:szCs w:val="20"/>
        </w:rPr>
        <w:t xml:space="preserve">MDCH specimen submission form:  </w:t>
      </w:r>
      <w:hyperlink r:id="rId8" w:history="1">
        <w:r w:rsidRPr="00FD7D27">
          <w:rPr>
            <w:rStyle w:val="Hyperlink"/>
            <w:rFonts w:cs="Arial"/>
            <w:sz w:val="20"/>
            <w:szCs w:val="20"/>
          </w:rPr>
          <w:t>http://www.michigan.gov/documents/DCH-0583TEST_REQUEST_7587_7.pdf</w:t>
        </w:r>
      </w:hyperlink>
      <w:r>
        <w:rPr>
          <w:sz w:val="20"/>
          <w:szCs w:val="20"/>
        </w:rPr>
        <w:t xml:space="preserve"> </w:t>
      </w:r>
    </w:p>
    <w:p w:rsidR="00B20677" w:rsidRDefault="00B20677" w:rsidP="00D148F3">
      <w:pPr>
        <w:pStyle w:val="ListParagraph"/>
        <w:numPr>
          <w:ilvl w:val="2"/>
          <w:numId w:val="13"/>
        </w:numPr>
        <w:rPr>
          <w:sz w:val="20"/>
          <w:szCs w:val="20"/>
        </w:rPr>
      </w:pPr>
      <w:r>
        <w:rPr>
          <w:sz w:val="20"/>
          <w:szCs w:val="20"/>
        </w:rPr>
        <w:t>Important:  include the type of test requested (i.e., “Ebola virus serology” and/or “Ebola virus PCR” into the blank space found under “Hepatitis” at the bottom right side of page 1.</w:t>
      </w:r>
    </w:p>
    <w:p w:rsidR="00B20677" w:rsidRPr="00C91710" w:rsidRDefault="00B20677" w:rsidP="00D148F3">
      <w:pPr>
        <w:pStyle w:val="ListParagraph"/>
        <w:numPr>
          <w:ilvl w:val="1"/>
          <w:numId w:val="13"/>
        </w:numPr>
        <w:rPr>
          <w:sz w:val="20"/>
          <w:szCs w:val="20"/>
        </w:rPr>
      </w:pPr>
      <w:r>
        <w:rPr>
          <w:sz w:val="20"/>
          <w:szCs w:val="20"/>
        </w:rPr>
        <w:t xml:space="preserve">CDC specimen submission form:  </w:t>
      </w:r>
      <w:hyperlink r:id="rId9" w:history="1">
        <w:r w:rsidRPr="00FD7D27">
          <w:rPr>
            <w:rStyle w:val="Hyperlink"/>
            <w:rFonts w:cs="Arial"/>
            <w:sz w:val="20"/>
            <w:szCs w:val="20"/>
          </w:rPr>
          <w:t>http://www.michigan.gov/documents/mdch/HUMAN_form-50-34_410210_7.pdf</w:t>
        </w:r>
      </w:hyperlink>
      <w:r>
        <w:rPr>
          <w:sz w:val="20"/>
          <w:szCs w:val="20"/>
        </w:rPr>
        <w:t xml:space="preserve"> </w:t>
      </w:r>
    </w:p>
    <w:p w:rsidR="00B20677" w:rsidRDefault="00B20677" w:rsidP="008B32E7"/>
    <w:p w:rsidR="00B20677" w:rsidRDefault="00B20677" w:rsidP="008B32E7">
      <w:pPr>
        <w:rPr>
          <w:sz w:val="20"/>
          <w:szCs w:val="20"/>
        </w:rPr>
      </w:pPr>
      <w:r>
        <w:rPr>
          <w:sz w:val="20"/>
          <w:szCs w:val="20"/>
        </w:rPr>
        <w:t>Recommended Infection Control Measures for Healthcare Providers:</w:t>
      </w:r>
    </w:p>
    <w:p w:rsidR="00B20677" w:rsidRDefault="00B20677" w:rsidP="008B32E7">
      <w:pPr>
        <w:rPr>
          <w:sz w:val="20"/>
          <w:szCs w:val="20"/>
        </w:rPr>
      </w:pPr>
      <w:r>
        <w:rPr>
          <w:sz w:val="20"/>
          <w:szCs w:val="20"/>
        </w:rPr>
        <w:t>Any hospital with suspected patients should follow CDC’s Infection Prevention and Control Recommendations for Hospitalized Patients with Known or Suspected Ebola Hemorrhagic Fever in U.S. Hospitals (</w:t>
      </w:r>
      <w:hyperlink r:id="rId10" w:history="1">
        <w:r w:rsidRPr="00FD7D27">
          <w:rPr>
            <w:rStyle w:val="Hyperlink"/>
            <w:rFonts w:cs="Arial"/>
            <w:sz w:val="20"/>
            <w:szCs w:val="20"/>
          </w:rPr>
          <w:t>http://www.cdc.gov/vhf/ebola/hcp/infection-prevention-and-control-recommendations.html</w:t>
        </w:r>
      </w:hyperlink>
      <w:r>
        <w:rPr>
          <w:sz w:val="20"/>
          <w:szCs w:val="20"/>
        </w:rPr>
        <w:t>) .These recommendations include:</w:t>
      </w:r>
    </w:p>
    <w:p w:rsidR="00B20677" w:rsidRDefault="00B20677" w:rsidP="0053414A">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7848"/>
      </w:tblGrid>
      <w:tr w:rsidR="00B20677">
        <w:tc>
          <w:tcPr>
            <w:tcW w:w="3060" w:type="dxa"/>
            <w:vMerge w:val="restart"/>
            <w:shd w:val="clear" w:color="auto" w:fill="DBE5F1"/>
            <w:vAlign w:val="center"/>
          </w:tcPr>
          <w:p w:rsidR="00B20677" w:rsidRPr="0081788B" w:rsidRDefault="00B20677" w:rsidP="0091705F">
            <w:pPr>
              <w:rPr>
                <w:b/>
                <w:bCs/>
                <w:sz w:val="20"/>
                <w:szCs w:val="20"/>
                <w:u w:val="single"/>
              </w:rPr>
            </w:pPr>
            <w:r w:rsidRPr="0081788B">
              <w:rPr>
                <w:b/>
                <w:bCs/>
                <w:sz w:val="20"/>
                <w:szCs w:val="20"/>
                <w:u w:val="single"/>
              </w:rPr>
              <w:t>Patient placement</w:t>
            </w:r>
          </w:p>
          <w:p w:rsidR="00B20677" w:rsidRPr="0081788B" w:rsidRDefault="00B20677" w:rsidP="0091705F">
            <w:pPr>
              <w:rPr>
                <w:sz w:val="20"/>
                <w:szCs w:val="20"/>
              </w:rPr>
            </w:pPr>
            <w:r w:rsidRPr="0081788B">
              <w:rPr>
                <w:b/>
                <w:bCs/>
                <w:sz w:val="20"/>
                <w:szCs w:val="20"/>
                <w:u w:val="single"/>
              </w:rPr>
              <w:t>Healthcare provider protection:</w:t>
            </w:r>
            <w:r w:rsidRPr="0081788B">
              <w:rPr>
                <w:sz w:val="20"/>
                <w:szCs w:val="20"/>
              </w:rPr>
              <w:t xml:space="preserve"> </w:t>
            </w:r>
          </w:p>
          <w:p w:rsidR="00B20677" w:rsidRPr="0081788B" w:rsidRDefault="00B20677" w:rsidP="0091705F">
            <w:pPr>
              <w:rPr>
                <w:b/>
                <w:bCs/>
                <w:sz w:val="20"/>
                <w:szCs w:val="20"/>
                <w:u w:val="single"/>
              </w:rPr>
            </w:pPr>
            <w:r w:rsidRPr="0081788B">
              <w:rPr>
                <w:sz w:val="20"/>
                <w:szCs w:val="20"/>
              </w:rPr>
              <w:t>PPE should be worn, including:</w:t>
            </w:r>
          </w:p>
        </w:tc>
        <w:tc>
          <w:tcPr>
            <w:tcW w:w="7848" w:type="dxa"/>
            <w:shd w:val="clear" w:color="auto" w:fill="DBE5F1"/>
          </w:tcPr>
          <w:p w:rsidR="00B20677" w:rsidRPr="0081788B" w:rsidRDefault="00B20677" w:rsidP="0081788B">
            <w:pPr>
              <w:pStyle w:val="ListParagraph"/>
              <w:numPr>
                <w:ilvl w:val="0"/>
                <w:numId w:val="14"/>
              </w:numPr>
              <w:rPr>
                <w:sz w:val="20"/>
                <w:szCs w:val="20"/>
              </w:rPr>
            </w:pPr>
            <w:r w:rsidRPr="0081788B">
              <w:rPr>
                <w:sz w:val="20"/>
                <w:szCs w:val="20"/>
              </w:rPr>
              <w:t>Single patient isolation room containing a private bathroom with the door closed</w:t>
            </w:r>
          </w:p>
        </w:tc>
      </w:tr>
      <w:tr w:rsidR="00B20677">
        <w:tc>
          <w:tcPr>
            <w:tcW w:w="3060" w:type="dxa"/>
            <w:vMerge/>
            <w:shd w:val="clear" w:color="auto" w:fill="DBE5F1"/>
          </w:tcPr>
          <w:p w:rsidR="00B20677" w:rsidRPr="0081788B" w:rsidRDefault="00B20677" w:rsidP="0053414A">
            <w:pPr>
              <w:rPr>
                <w:sz w:val="20"/>
                <w:szCs w:val="20"/>
              </w:rPr>
            </w:pPr>
          </w:p>
        </w:tc>
        <w:tc>
          <w:tcPr>
            <w:tcW w:w="7848" w:type="dxa"/>
            <w:shd w:val="clear" w:color="auto" w:fill="DBE5F1"/>
          </w:tcPr>
          <w:p w:rsidR="00B20677" w:rsidRPr="0081788B" w:rsidRDefault="00B20677" w:rsidP="0081788B">
            <w:pPr>
              <w:pStyle w:val="ListParagraph"/>
              <w:numPr>
                <w:ilvl w:val="0"/>
                <w:numId w:val="14"/>
              </w:numPr>
              <w:rPr>
                <w:sz w:val="20"/>
                <w:szCs w:val="20"/>
              </w:rPr>
            </w:pPr>
            <w:r w:rsidRPr="0081788B">
              <w:rPr>
                <w:sz w:val="20"/>
                <w:szCs w:val="20"/>
              </w:rPr>
              <w:t>Gloves</w:t>
            </w:r>
          </w:p>
        </w:tc>
      </w:tr>
      <w:tr w:rsidR="00B20677">
        <w:tc>
          <w:tcPr>
            <w:tcW w:w="3060" w:type="dxa"/>
            <w:vMerge/>
            <w:shd w:val="clear" w:color="auto" w:fill="DBE5F1"/>
          </w:tcPr>
          <w:p w:rsidR="00B20677" w:rsidRPr="0081788B" w:rsidRDefault="00B20677" w:rsidP="0053414A">
            <w:pPr>
              <w:rPr>
                <w:sz w:val="20"/>
                <w:szCs w:val="20"/>
              </w:rPr>
            </w:pPr>
          </w:p>
        </w:tc>
        <w:tc>
          <w:tcPr>
            <w:tcW w:w="7848" w:type="dxa"/>
            <w:shd w:val="clear" w:color="auto" w:fill="DBE5F1"/>
          </w:tcPr>
          <w:p w:rsidR="00B20677" w:rsidRPr="0081788B" w:rsidRDefault="00B20677" w:rsidP="0081788B">
            <w:pPr>
              <w:pStyle w:val="ListParagraph"/>
              <w:numPr>
                <w:ilvl w:val="0"/>
                <w:numId w:val="14"/>
              </w:numPr>
              <w:rPr>
                <w:sz w:val="20"/>
                <w:szCs w:val="20"/>
              </w:rPr>
            </w:pPr>
            <w:r w:rsidRPr="0081788B">
              <w:rPr>
                <w:sz w:val="20"/>
                <w:szCs w:val="20"/>
              </w:rPr>
              <w:t>Gown (fluid-resistant or impermeable)</w:t>
            </w:r>
          </w:p>
        </w:tc>
      </w:tr>
      <w:tr w:rsidR="00B20677">
        <w:tc>
          <w:tcPr>
            <w:tcW w:w="3060" w:type="dxa"/>
            <w:vMerge/>
            <w:shd w:val="clear" w:color="auto" w:fill="DBE5F1"/>
          </w:tcPr>
          <w:p w:rsidR="00B20677" w:rsidRPr="0081788B" w:rsidRDefault="00B20677" w:rsidP="0053414A">
            <w:pPr>
              <w:rPr>
                <w:sz w:val="20"/>
                <w:szCs w:val="20"/>
              </w:rPr>
            </w:pPr>
          </w:p>
        </w:tc>
        <w:tc>
          <w:tcPr>
            <w:tcW w:w="7848" w:type="dxa"/>
            <w:shd w:val="clear" w:color="auto" w:fill="DBE5F1"/>
          </w:tcPr>
          <w:p w:rsidR="00B20677" w:rsidRPr="0081788B" w:rsidRDefault="00B20677" w:rsidP="0081788B">
            <w:pPr>
              <w:pStyle w:val="ListParagraph"/>
              <w:numPr>
                <w:ilvl w:val="0"/>
                <w:numId w:val="14"/>
              </w:numPr>
              <w:rPr>
                <w:sz w:val="20"/>
                <w:szCs w:val="20"/>
              </w:rPr>
            </w:pPr>
            <w:r w:rsidRPr="0081788B">
              <w:rPr>
                <w:sz w:val="20"/>
                <w:szCs w:val="20"/>
              </w:rPr>
              <w:t>Eye protection (goggles or face shield)</w:t>
            </w:r>
          </w:p>
        </w:tc>
      </w:tr>
      <w:tr w:rsidR="00B20677">
        <w:tc>
          <w:tcPr>
            <w:tcW w:w="3060" w:type="dxa"/>
            <w:vMerge/>
            <w:shd w:val="clear" w:color="auto" w:fill="DBE5F1"/>
          </w:tcPr>
          <w:p w:rsidR="00B20677" w:rsidRPr="0081788B" w:rsidRDefault="00B20677" w:rsidP="0053414A">
            <w:pPr>
              <w:rPr>
                <w:sz w:val="20"/>
                <w:szCs w:val="20"/>
              </w:rPr>
            </w:pPr>
          </w:p>
        </w:tc>
        <w:tc>
          <w:tcPr>
            <w:tcW w:w="7848" w:type="dxa"/>
            <w:shd w:val="clear" w:color="auto" w:fill="DBE5F1"/>
          </w:tcPr>
          <w:p w:rsidR="00B20677" w:rsidRPr="0081788B" w:rsidRDefault="00B20677" w:rsidP="0081788B">
            <w:pPr>
              <w:pStyle w:val="ListParagraph"/>
              <w:numPr>
                <w:ilvl w:val="0"/>
                <w:numId w:val="14"/>
              </w:numPr>
              <w:rPr>
                <w:sz w:val="20"/>
                <w:szCs w:val="20"/>
              </w:rPr>
            </w:pPr>
            <w:r w:rsidRPr="0081788B">
              <w:rPr>
                <w:sz w:val="20"/>
                <w:szCs w:val="20"/>
              </w:rPr>
              <w:t>Facemask</w:t>
            </w:r>
          </w:p>
        </w:tc>
      </w:tr>
      <w:tr w:rsidR="00B20677">
        <w:tc>
          <w:tcPr>
            <w:tcW w:w="3060" w:type="dxa"/>
            <w:vMerge/>
            <w:shd w:val="clear" w:color="auto" w:fill="DBE5F1"/>
          </w:tcPr>
          <w:p w:rsidR="00B20677" w:rsidRPr="0081788B" w:rsidRDefault="00B20677" w:rsidP="0053414A">
            <w:pPr>
              <w:rPr>
                <w:sz w:val="20"/>
                <w:szCs w:val="20"/>
              </w:rPr>
            </w:pPr>
          </w:p>
        </w:tc>
        <w:tc>
          <w:tcPr>
            <w:tcW w:w="7848" w:type="dxa"/>
            <w:shd w:val="clear" w:color="auto" w:fill="DBE5F1"/>
          </w:tcPr>
          <w:p w:rsidR="00B20677" w:rsidRPr="0081788B" w:rsidRDefault="00B20677" w:rsidP="0081788B">
            <w:pPr>
              <w:pStyle w:val="ListParagraph"/>
              <w:numPr>
                <w:ilvl w:val="0"/>
                <w:numId w:val="14"/>
              </w:numPr>
              <w:rPr>
                <w:sz w:val="20"/>
                <w:szCs w:val="20"/>
              </w:rPr>
            </w:pPr>
            <w:r w:rsidRPr="0081788B">
              <w:rPr>
                <w:sz w:val="20"/>
                <w:szCs w:val="20"/>
              </w:rPr>
              <w:t>Additional PPE might be required in certain situations (e.g., copious amounts of body fluids or feces present in the environment) – including but not limited to:  double-gloving, disposable shoe covers, and leg covers</w:t>
            </w:r>
          </w:p>
        </w:tc>
      </w:tr>
      <w:tr w:rsidR="00B20677">
        <w:tc>
          <w:tcPr>
            <w:tcW w:w="3060" w:type="dxa"/>
            <w:vMerge w:val="restart"/>
            <w:shd w:val="clear" w:color="auto" w:fill="EAF1DD"/>
            <w:vAlign w:val="center"/>
          </w:tcPr>
          <w:p w:rsidR="00B20677" w:rsidRPr="0081788B" w:rsidRDefault="00B20677" w:rsidP="0091705F">
            <w:pPr>
              <w:rPr>
                <w:b/>
                <w:bCs/>
                <w:sz w:val="20"/>
                <w:szCs w:val="20"/>
                <w:u w:val="single"/>
              </w:rPr>
            </w:pPr>
            <w:r w:rsidRPr="0081788B">
              <w:rPr>
                <w:b/>
                <w:bCs/>
                <w:sz w:val="20"/>
                <w:szCs w:val="20"/>
                <w:u w:val="single"/>
              </w:rPr>
              <w:t>Aerosol-generating procedures:</w:t>
            </w:r>
          </w:p>
          <w:p w:rsidR="00B20677" w:rsidRPr="0081788B" w:rsidRDefault="00B20677" w:rsidP="0091705F">
            <w:pPr>
              <w:rPr>
                <w:sz w:val="20"/>
                <w:szCs w:val="20"/>
              </w:rPr>
            </w:pPr>
            <w:r w:rsidRPr="0081788B">
              <w:rPr>
                <w:sz w:val="20"/>
                <w:szCs w:val="20"/>
              </w:rPr>
              <w:t>Avoid these procedures.  If they are necessary, PPE should include:</w:t>
            </w:r>
          </w:p>
        </w:tc>
        <w:tc>
          <w:tcPr>
            <w:tcW w:w="7848" w:type="dxa"/>
            <w:shd w:val="clear" w:color="auto" w:fill="EAF1DD"/>
          </w:tcPr>
          <w:p w:rsidR="00B20677" w:rsidRPr="0081788B" w:rsidRDefault="00B20677" w:rsidP="0081788B">
            <w:pPr>
              <w:pStyle w:val="ListParagraph"/>
              <w:numPr>
                <w:ilvl w:val="0"/>
                <w:numId w:val="15"/>
              </w:numPr>
              <w:rPr>
                <w:sz w:val="20"/>
                <w:szCs w:val="20"/>
              </w:rPr>
            </w:pPr>
            <w:r w:rsidRPr="0081788B">
              <w:rPr>
                <w:sz w:val="20"/>
                <w:szCs w:val="20"/>
              </w:rPr>
              <w:t>Gloves</w:t>
            </w:r>
          </w:p>
        </w:tc>
      </w:tr>
      <w:tr w:rsidR="00B20677">
        <w:tc>
          <w:tcPr>
            <w:tcW w:w="3060" w:type="dxa"/>
            <w:vMerge/>
            <w:shd w:val="clear" w:color="auto" w:fill="EAF1DD"/>
          </w:tcPr>
          <w:p w:rsidR="00B20677" w:rsidRPr="0081788B" w:rsidRDefault="00B20677" w:rsidP="0053414A">
            <w:pPr>
              <w:rPr>
                <w:sz w:val="20"/>
                <w:szCs w:val="20"/>
              </w:rPr>
            </w:pPr>
          </w:p>
        </w:tc>
        <w:tc>
          <w:tcPr>
            <w:tcW w:w="7848" w:type="dxa"/>
            <w:shd w:val="clear" w:color="auto" w:fill="EAF1DD"/>
          </w:tcPr>
          <w:p w:rsidR="00B20677" w:rsidRPr="0081788B" w:rsidRDefault="00B20677" w:rsidP="0081788B">
            <w:pPr>
              <w:pStyle w:val="ListParagraph"/>
              <w:numPr>
                <w:ilvl w:val="0"/>
                <w:numId w:val="15"/>
              </w:numPr>
              <w:rPr>
                <w:sz w:val="20"/>
                <w:szCs w:val="20"/>
              </w:rPr>
            </w:pPr>
            <w:r w:rsidRPr="0081788B">
              <w:rPr>
                <w:sz w:val="20"/>
                <w:szCs w:val="20"/>
              </w:rPr>
              <w:t>Gown</w:t>
            </w:r>
          </w:p>
        </w:tc>
      </w:tr>
      <w:tr w:rsidR="00B20677">
        <w:tc>
          <w:tcPr>
            <w:tcW w:w="3060" w:type="dxa"/>
            <w:vMerge/>
            <w:shd w:val="clear" w:color="auto" w:fill="EAF1DD"/>
          </w:tcPr>
          <w:p w:rsidR="00B20677" w:rsidRPr="0081788B" w:rsidRDefault="00B20677" w:rsidP="0053414A">
            <w:pPr>
              <w:rPr>
                <w:sz w:val="20"/>
                <w:szCs w:val="20"/>
              </w:rPr>
            </w:pPr>
          </w:p>
        </w:tc>
        <w:tc>
          <w:tcPr>
            <w:tcW w:w="7848" w:type="dxa"/>
            <w:shd w:val="clear" w:color="auto" w:fill="EAF1DD"/>
          </w:tcPr>
          <w:p w:rsidR="00B20677" w:rsidRPr="0081788B" w:rsidRDefault="00B20677" w:rsidP="0081788B">
            <w:pPr>
              <w:pStyle w:val="ListParagraph"/>
              <w:numPr>
                <w:ilvl w:val="0"/>
                <w:numId w:val="15"/>
              </w:numPr>
              <w:rPr>
                <w:sz w:val="20"/>
                <w:szCs w:val="20"/>
              </w:rPr>
            </w:pPr>
            <w:r w:rsidRPr="0081788B">
              <w:rPr>
                <w:sz w:val="20"/>
                <w:szCs w:val="20"/>
              </w:rPr>
              <w:t>Disposable shoe covers</w:t>
            </w:r>
          </w:p>
        </w:tc>
      </w:tr>
      <w:tr w:rsidR="00B20677">
        <w:tc>
          <w:tcPr>
            <w:tcW w:w="3060" w:type="dxa"/>
            <w:vMerge/>
            <w:shd w:val="clear" w:color="auto" w:fill="EAF1DD"/>
          </w:tcPr>
          <w:p w:rsidR="00B20677" w:rsidRPr="0081788B" w:rsidRDefault="00B20677" w:rsidP="0053414A">
            <w:pPr>
              <w:rPr>
                <w:sz w:val="20"/>
                <w:szCs w:val="20"/>
              </w:rPr>
            </w:pPr>
          </w:p>
        </w:tc>
        <w:tc>
          <w:tcPr>
            <w:tcW w:w="7848" w:type="dxa"/>
            <w:shd w:val="clear" w:color="auto" w:fill="EAF1DD"/>
          </w:tcPr>
          <w:p w:rsidR="00B20677" w:rsidRPr="0081788B" w:rsidRDefault="00B20677" w:rsidP="0081788B">
            <w:pPr>
              <w:pStyle w:val="ListParagraph"/>
              <w:numPr>
                <w:ilvl w:val="0"/>
                <w:numId w:val="15"/>
              </w:numPr>
              <w:rPr>
                <w:sz w:val="20"/>
                <w:szCs w:val="20"/>
              </w:rPr>
            </w:pPr>
            <w:r w:rsidRPr="0081788B">
              <w:rPr>
                <w:sz w:val="20"/>
                <w:szCs w:val="20"/>
              </w:rPr>
              <w:t>Either a face shield that fully covers the front and sides of the face or goggles and respiratory protection (N95 filtering facepiece respirator or higher)</w:t>
            </w:r>
          </w:p>
        </w:tc>
      </w:tr>
      <w:tr w:rsidR="00B20677">
        <w:tc>
          <w:tcPr>
            <w:tcW w:w="3060" w:type="dxa"/>
            <w:vMerge/>
            <w:shd w:val="clear" w:color="auto" w:fill="EAF1DD"/>
          </w:tcPr>
          <w:p w:rsidR="00B20677" w:rsidRPr="0081788B" w:rsidRDefault="00B20677" w:rsidP="0053414A">
            <w:pPr>
              <w:rPr>
                <w:sz w:val="20"/>
                <w:szCs w:val="20"/>
              </w:rPr>
            </w:pPr>
          </w:p>
        </w:tc>
        <w:tc>
          <w:tcPr>
            <w:tcW w:w="7848" w:type="dxa"/>
            <w:shd w:val="clear" w:color="auto" w:fill="EAF1DD"/>
          </w:tcPr>
          <w:p w:rsidR="00B20677" w:rsidRPr="0081788B" w:rsidRDefault="00B20677" w:rsidP="0081788B">
            <w:pPr>
              <w:pStyle w:val="ListParagraph"/>
              <w:numPr>
                <w:ilvl w:val="0"/>
                <w:numId w:val="15"/>
              </w:numPr>
              <w:rPr>
                <w:sz w:val="20"/>
                <w:szCs w:val="20"/>
              </w:rPr>
            </w:pPr>
            <w:r w:rsidRPr="0081788B">
              <w:rPr>
                <w:sz w:val="20"/>
                <w:szCs w:val="20"/>
              </w:rPr>
              <w:t>Perform procedure in an airborne isolation room</w:t>
            </w:r>
          </w:p>
        </w:tc>
      </w:tr>
      <w:tr w:rsidR="00B20677">
        <w:tc>
          <w:tcPr>
            <w:tcW w:w="3060" w:type="dxa"/>
            <w:vMerge w:val="restart"/>
            <w:shd w:val="clear" w:color="auto" w:fill="F2F2F2"/>
            <w:vAlign w:val="center"/>
          </w:tcPr>
          <w:p w:rsidR="00B20677" w:rsidRPr="0081788B" w:rsidRDefault="00B20677" w:rsidP="0091705F">
            <w:pPr>
              <w:rPr>
                <w:b/>
                <w:bCs/>
                <w:sz w:val="20"/>
                <w:szCs w:val="20"/>
                <w:u w:val="single"/>
              </w:rPr>
            </w:pPr>
            <w:r w:rsidRPr="0081788B">
              <w:rPr>
                <w:b/>
                <w:bCs/>
                <w:sz w:val="20"/>
                <w:szCs w:val="20"/>
                <w:u w:val="single"/>
              </w:rPr>
              <w:t>Environmental infection control:</w:t>
            </w:r>
          </w:p>
        </w:tc>
        <w:tc>
          <w:tcPr>
            <w:tcW w:w="7848" w:type="dxa"/>
            <w:shd w:val="clear" w:color="auto" w:fill="F2F2F2"/>
          </w:tcPr>
          <w:p w:rsidR="00B20677" w:rsidRPr="0081788B" w:rsidRDefault="00B20677" w:rsidP="0081788B">
            <w:pPr>
              <w:pStyle w:val="ListParagraph"/>
              <w:numPr>
                <w:ilvl w:val="0"/>
                <w:numId w:val="16"/>
              </w:numPr>
              <w:rPr>
                <w:sz w:val="20"/>
                <w:szCs w:val="20"/>
              </w:rPr>
            </w:pPr>
            <w:r w:rsidRPr="0081788B">
              <w:rPr>
                <w:sz w:val="20"/>
                <w:szCs w:val="20"/>
              </w:rPr>
              <w:t>Diligent environmental cleaning, disinfection, and safe handling of materials is paramount</w:t>
            </w:r>
          </w:p>
        </w:tc>
      </w:tr>
      <w:tr w:rsidR="00B20677">
        <w:tc>
          <w:tcPr>
            <w:tcW w:w="3060" w:type="dxa"/>
            <w:vMerge/>
            <w:shd w:val="clear" w:color="auto" w:fill="F2F2F2"/>
          </w:tcPr>
          <w:p w:rsidR="00B20677" w:rsidRPr="0081788B" w:rsidRDefault="00B20677" w:rsidP="0053414A">
            <w:pPr>
              <w:rPr>
                <w:sz w:val="20"/>
                <w:szCs w:val="20"/>
              </w:rPr>
            </w:pPr>
          </w:p>
        </w:tc>
        <w:tc>
          <w:tcPr>
            <w:tcW w:w="7848" w:type="dxa"/>
            <w:shd w:val="clear" w:color="auto" w:fill="F2F2F2"/>
          </w:tcPr>
          <w:p w:rsidR="00B20677" w:rsidRPr="0081788B" w:rsidRDefault="00B20677" w:rsidP="0081788B">
            <w:pPr>
              <w:pStyle w:val="ListParagraph"/>
              <w:numPr>
                <w:ilvl w:val="0"/>
                <w:numId w:val="16"/>
              </w:numPr>
              <w:rPr>
                <w:sz w:val="20"/>
                <w:szCs w:val="20"/>
              </w:rPr>
            </w:pPr>
            <w:r w:rsidRPr="0081788B">
              <w:rPr>
                <w:sz w:val="20"/>
                <w:szCs w:val="20"/>
              </w:rPr>
              <w:t>Appropriate disinfectants for EVD and other filoviruses include 10% sodium hypochlorite (bleach) solution, or hospital-grade quarternary ammonium or phenolic products</w:t>
            </w:r>
          </w:p>
        </w:tc>
      </w:tr>
      <w:tr w:rsidR="00B20677">
        <w:tc>
          <w:tcPr>
            <w:tcW w:w="3060" w:type="dxa"/>
            <w:vMerge/>
            <w:shd w:val="clear" w:color="auto" w:fill="F2F2F2"/>
          </w:tcPr>
          <w:p w:rsidR="00B20677" w:rsidRPr="0081788B" w:rsidRDefault="00B20677" w:rsidP="0053414A">
            <w:pPr>
              <w:rPr>
                <w:sz w:val="20"/>
                <w:szCs w:val="20"/>
              </w:rPr>
            </w:pPr>
          </w:p>
        </w:tc>
        <w:tc>
          <w:tcPr>
            <w:tcW w:w="7848" w:type="dxa"/>
            <w:shd w:val="clear" w:color="auto" w:fill="F2F2F2"/>
          </w:tcPr>
          <w:p w:rsidR="00B20677" w:rsidRPr="0081788B" w:rsidRDefault="00B20677" w:rsidP="0081788B">
            <w:pPr>
              <w:pStyle w:val="ListParagraph"/>
              <w:numPr>
                <w:ilvl w:val="0"/>
                <w:numId w:val="16"/>
              </w:numPr>
              <w:rPr>
                <w:sz w:val="20"/>
                <w:szCs w:val="20"/>
              </w:rPr>
            </w:pPr>
            <w:r w:rsidRPr="0081788B">
              <w:rPr>
                <w:sz w:val="20"/>
                <w:szCs w:val="20"/>
              </w:rPr>
              <w:t>Providers performing environmental cleaning should wear recommended PPE described above and consider use of additional barriers (e.g., shoe and leg coverings) if needed</w:t>
            </w:r>
          </w:p>
        </w:tc>
      </w:tr>
      <w:tr w:rsidR="00B20677">
        <w:tc>
          <w:tcPr>
            <w:tcW w:w="3060" w:type="dxa"/>
            <w:vMerge/>
            <w:shd w:val="clear" w:color="auto" w:fill="F2F2F2"/>
          </w:tcPr>
          <w:p w:rsidR="00B20677" w:rsidRPr="0081788B" w:rsidRDefault="00B20677" w:rsidP="0053414A">
            <w:pPr>
              <w:rPr>
                <w:sz w:val="20"/>
                <w:szCs w:val="20"/>
              </w:rPr>
            </w:pPr>
          </w:p>
        </w:tc>
        <w:tc>
          <w:tcPr>
            <w:tcW w:w="7848" w:type="dxa"/>
            <w:shd w:val="clear" w:color="auto" w:fill="F2F2F2"/>
          </w:tcPr>
          <w:p w:rsidR="00B20677" w:rsidRPr="0081788B" w:rsidRDefault="00B20677" w:rsidP="0081788B">
            <w:pPr>
              <w:pStyle w:val="ListParagraph"/>
              <w:numPr>
                <w:ilvl w:val="0"/>
                <w:numId w:val="16"/>
              </w:numPr>
              <w:rPr>
                <w:sz w:val="20"/>
                <w:szCs w:val="20"/>
              </w:rPr>
            </w:pPr>
            <w:r w:rsidRPr="0081788B">
              <w:rPr>
                <w:sz w:val="20"/>
                <w:szCs w:val="20"/>
              </w:rPr>
              <w:t>Face protection should be worn when performing tasks such as liquid waste disposal that can generate splashes</w:t>
            </w:r>
          </w:p>
        </w:tc>
      </w:tr>
      <w:tr w:rsidR="00B20677">
        <w:tc>
          <w:tcPr>
            <w:tcW w:w="3060" w:type="dxa"/>
            <w:vMerge/>
            <w:shd w:val="clear" w:color="auto" w:fill="F2F2F2"/>
          </w:tcPr>
          <w:p w:rsidR="00B20677" w:rsidRPr="0081788B" w:rsidRDefault="00B20677" w:rsidP="0053414A">
            <w:pPr>
              <w:rPr>
                <w:sz w:val="20"/>
                <w:szCs w:val="20"/>
              </w:rPr>
            </w:pPr>
          </w:p>
        </w:tc>
        <w:tc>
          <w:tcPr>
            <w:tcW w:w="7848" w:type="dxa"/>
            <w:shd w:val="clear" w:color="auto" w:fill="F2F2F2"/>
          </w:tcPr>
          <w:p w:rsidR="00B20677" w:rsidRPr="0081788B" w:rsidRDefault="00B20677" w:rsidP="0081788B">
            <w:pPr>
              <w:pStyle w:val="ListParagraph"/>
              <w:numPr>
                <w:ilvl w:val="0"/>
                <w:numId w:val="16"/>
              </w:numPr>
              <w:rPr>
                <w:sz w:val="20"/>
                <w:szCs w:val="20"/>
              </w:rPr>
            </w:pPr>
            <w:r w:rsidRPr="0081788B">
              <w:rPr>
                <w:sz w:val="20"/>
                <w:szCs w:val="20"/>
              </w:rPr>
              <w:t>Follow standard procedures, per hospital policy and manufacturers’ instructions, for cleaning and/or disinfection of environmental surfaces, equipment, textiles, laundry, food utensils, and dishware</w:t>
            </w:r>
          </w:p>
        </w:tc>
      </w:tr>
    </w:tbl>
    <w:p w:rsidR="00B20677" w:rsidRDefault="00B20677" w:rsidP="0053414A">
      <w:pPr>
        <w:rPr>
          <w:sz w:val="20"/>
          <w:szCs w:val="20"/>
        </w:rPr>
      </w:pPr>
    </w:p>
    <w:p w:rsidR="00B20677" w:rsidRDefault="00B20677" w:rsidP="0053414A">
      <w:pPr>
        <w:rPr>
          <w:sz w:val="20"/>
          <w:szCs w:val="20"/>
        </w:rPr>
      </w:pPr>
      <w:r>
        <w:rPr>
          <w:sz w:val="20"/>
          <w:szCs w:val="20"/>
        </w:rPr>
        <w:t>MDCH Supplemental EVD Case Investigation Form:</w:t>
      </w:r>
    </w:p>
    <w:p w:rsidR="00B20677" w:rsidRPr="008265A7" w:rsidRDefault="00B20677" w:rsidP="0053414A">
      <w:pPr>
        <w:rPr>
          <w:sz w:val="20"/>
          <w:szCs w:val="20"/>
        </w:rPr>
      </w:pPr>
      <w:r>
        <w:rPr>
          <w:sz w:val="20"/>
          <w:szCs w:val="20"/>
        </w:rPr>
        <w:t>Refer to the “MDCH Interim Guidelines for Evaluation of U.S. Patients Suspected of Having EVD” to access the MDCH Supplemental EVD Case Investigation Form.  This form should be faxed to the MDCH Communicable Disease Division at 517-335-8263.</w:t>
      </w:r>
    </w:p>
    <w:p w:rsidR="00B20677" w:rsidRPr="0053414A" w:rsidRDefault="00B20677" w:rsidP="0053414A">
      <w:pPr>
        <w:rPr>
          <w:sz w:val="20"/>
          <w:szCs w:val="20"/>
        </w:rPr>
      </w:pPr>
    </w:p>
    <w:sectPr w:rsidR="00B20677" w:rsidRPr="0053414A" w:rsidSect="0029475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77" w:rsidRDefault="00B20677">
      <w:r>
        <w:separator/>
      </w:r>
    </w:p>
  </w:endnote>
  <w:endnote w:type="continuationSeparator" w:id="0">
    <w:p w:rsidR="00B20677" w:rsidRDefault="00B2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77" w:rsidRDefault="00B20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77" w:rsidRDefault="00B20677">
      <w:r>
        <w:separator/>
      </w:r>
    </w:p>
  </w:footnote>
  <w:footnote w:type="continuationSeparator" w:id="0">
    <w:p w:rsidR="00B20677" w:rsidRDefault="00B2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77" w:rsidRDefault="00B20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AE7"/>
    <w:multiLevelType w:val="hybridMultilevel"/>
    <w:tmpl w:val="AD6A4E64"/>
    <w:lvl w:ilvl="0" w:tplc="3EDE305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666AD0"/>
    <w:multiLevelType w:val="hybridMultilevel"/>
    <w:tmpl w:val="F50C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B102C"/>
    <w:multiLevelType w:val="hybridMultilevel"/>
    <w:tmpl w:val="5494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BAF0CE0"/>
    <w:multiLevelType w:val="hybridMultilevel"/>
    <w:tmpl w:val="30442E68"/>
    <w:lvl w:ilvl="0" w:tplc="4816CA8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3D39C3"/>
    <w:multiLevelType w:val="hybridMultilevel"/>
    <w:tmpl w:val="EEDCF8BC"/>
    <w:lvl w:ilvl="0" w:tplc="4816CA84">
      <w:start w:val="1"/>
      <w:numFmt w:val="bullet"/>
      <w:lvlText w:val="▫"/>
      <w:lvlJc w:val="left"/>
      <w:pPr>
        <w:ind w:left="720" w:hanging="360"/>
      </w:pPr>
      <w:rPr>
        <w:rFonts w:ascii="Times New Roman" w:hAnsi="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6F32F7"/>
    <w:multiLevelType w:val="hybridMultilevel"/>
    <w:tmpl w:val="4F5251F0"/>
    <w:lvl w:ilvl="0" w:tplc="3EDE305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642D0"/>
    <w:multiLevelType w:val="hybridMultilevel"/>
    <w:tmpl w:val="BF50F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A6497"/>
    <w:multiLevelType w:val="hybridMultilevel"/>
    <w:tmpl w:val="52A6FF4C"/>
    <w:lvl w:ilvl="0" w:tplc="4816CA8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707F1C"/>
    <w:multiLevelType w:val="hybridMultilevel"/>
    <w:tmpl w:val="3F8414EE"/>
    <w:lvl w:ilvl="0" w:tplc="3EDE305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4036FD"/>
    <w:multiLevelType w:val="hybridMultilevel"/>
    <w:tmpl w:val="2B38799C"/>
    <w:lvl w:ilvl="0" w:tplc="3EDE305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4E5BC0"/>
    <w:multiLevelType w:val="hybridMultilevel"/>
    <w:tmpl w:val="27646C46"/>
    <w:lvl w:ilvl="0" w:tplc="3EDE3054">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DE15024"/>
    <w:multiLevelType w:val="hybridMultilevel"/>
    <w:tmpl w:val="4F223E78"/>
    <w:lvl w:ilvl="0" w:tplc="4816CA8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B8543F"/>
    <w:multiLevelType w:val="hybridMultilevel"/>
    <w:tmpl w:val="B8C637C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6F501756"/>
    <w:multiLevelType w:val="multilevel"/>
    <w:tmpl w:val="F74820A4"/>
    <w:lvl w:ilvl="0">
      <w:start w:val="1"/>
      <w:numFmt w:val="upperRoman"/>
      <w:lvlText w:val="%1."/>
      <w:legacy w:legacy="1" w:legacySpace="120" w:legacyIndent="360"/>
      <w:lvlJc w:val="left"/>
      <w:pPr>
        <w:ind w:left="360" w:hanging="360"/>
      </w:pPr>
      <w:rPr>
        <w:rFonts w:cs="Times New Roman"/>
      </w:rPr>
    </w:lvl>
    <w:lvl w:ilvl="1">
      <w:start w:val="1"/>
      <w:numFmt w:val="upperLetter"/>
      <w:lvlText w:val="%2."/>
      <w:legacy w:legacy="1" w:legacySpace="120" w:legacyIndent="648"/>
      <w:lvlJc w:val="left"/>
      <w:pPr>
        <w:ind w:left="1008" w:hanging="648"/>
      </w:pPr>
      <w:rPr>
        <w:rFonts w:cs="Times New Roman"/>
      </w:rPr>
    </w:lvl>
    <w:lvl w:ilvl="2">
      <w:start w:val="1"/>
      <w:numFmt w:val="decimal"/>
      <w:lvlText w:val="%3."/>
      <w:legacy w:legacy="1" w:legacySpace="120" w:legacyIndent="576"/>
      <w:lvlJc w:val="left"/>
      <w:pPr>
        <w:ind w:left="1584" w:hanging="576"/>
      </w:pPr>
      <w:rPr>
        <w:rFonts w:cs="Times New Roman"/>
      </w:rPr>
    </w:lvl>
    <w:lvl w:ilvl="3">
      <w:start w:val="1"/>
      <w:numFmt w:val="lowerLetter"/>
      <w:lvlText w:val="%4)"/>
      <w:legacy w:legacy="1" w:legacySpace="120" w:legacyIndent="648"/>
      <w:lvlJc w:val="left"/>
      <w:pPr>
        <w:ind w:left="2232" w:hanging="648"/>
      </w:pPr>
      <w:rPr>
        <w:rFonts w:cs="Times New Roman"/>
      </w:rPr>
    </w:lvl>
    <w:lvl w:ilvl="4">
      <w:start w:val="1"/>
      <w:numFmt w:val="decimal"/>
      <w:lvlText w:val="(%5)"/>
      <w:legacy w:legacy="1" w:legacySpace="120" w:legacyIndent="360"/>
      <w:lvlJc w:val="left"/>
      <w:rPr>
        <w:rFonts w:cs="Times New Roman"/>
      </w:rPr>
    </w:lvl>
    <w:lvl w:ilvl="5">
      <w:start w:val="1"/>
      <w:numFmt w:val="lowerLetter"/>
      <w:lvlText w:val="(%6)"/>
      <w:legacy w:legacy="1" w:legacySpace="120" w:legacyIndent="360"/>
      <w:lvlJc w:val="left"/>
      <w:rPr>
        <w:rFonts w:cs="Times New Roman"/>
      </w:rPr>
    </w:lvl>
    <w:lvl w:ilvl="6">
      <w:start w:val="1"/>
      <w:numFmt w:val="lowerRoman"/>
      <w:lvlText w:val="(%7)"/>
      <w:legacy w:legacy="1" w:legacySpace="120" w:legacyIndent="360"/>
      <w:lvlJc w:val="left"/>
      <w:rPr>
        <w:rFonts w:cs="Times New Roman"/>
      </w:rPr>
    </w:lvl>
    <w:lvl w:ilvl="7">
      <w:start w:val="1"/>
      <w:numFmt w:val="lowerLetter"/>
      <w:lvlText w:val="(%8)"/>
      <w:legacy w:legacy="1" w:legacySpace="120" w:legacyIndent="360"/>
      <w:lvlJc w:val="left"/>
      <w:rPr>
        <w:rFonts w:cs="Times New Roman"/>
      </w:rPr>
    </w:lvl>
    <w:lvl w:ilvl="8">
      <w:start w:val="1"/>
      <w:numFmt w:val="lowerRoman"/>
      <w:lvlText w:val="(%9)"/>
      <w:legacy w:legacy="1" w:legacySpace="120" w:legacyIndent="360"/>
      <w:lvlJc w:val="left"/>
      <w:rPr>
        <w:rFonts w:cs="Times New Roman"/>
      </w:rPr>
    </w:lvl>
  </w:abstractNum>
  <w:abstractNum w:abstractNumId="14">
    <w:nsid w:val="73876384"/>
    <w:multiLevelType w:val="hybridMultilevel"/>
    <w:tmpl w:val="6342624E"/>
    <w:lvl w:ilvl="0" w:tplc="4816CA84">
      <w:start w:val="1"/>
      <w:numFmt w:val="bullet"/>
      <w:lvlText w:val="▫"/>
      <w:lvlJc w:val="left"/>
      <w:pPr>
        <w:ind w:left="720" w:hanging="360"/>
      </w:pPr>
      <w:rPr>
        <w:rFonts w:ascii="Times New Roman" w:hAnsi="Times New Roman" w:hint="default"/>
      </w:rPr>
    </w:lvl>
    <w:lvl w:ilvl="1" w:tplc="04090005">
      <w:start w:val="1"/>
      <w:numFmt w:val="bullet"/>
      <w:lvlText w:val=""/>
      <w:lvlJc w:val="left"/>
      <w:pPr>
        <w:ind w:left="1440" w:hanging="360"/>
      </w:pPr>
      <w:rPr>
        <w:rFonts w:ascii="Wingdings" w:hAnsi="Wingdings" w:hint="default"/>
      </w:rPr>
    </w:lvl>
    <w:lvl w:ilvl="2" w:tplc="4816CA84">
      <w:start w:val="1"/>
      <w:numFmt w:val="bullet"/>
      <w:lvlText w:val="▫"/>
      <w:lvlJc w:val="left"/>
      <w:pPr>
        <w:ind w:left="2160" w:hanging="360"/>
      </w:pPr>
      <w:rPr>
        <w:rFonts w:ascii="Times New Roman" w:hAnsi="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BF34E7"/>
    <w:multiLevelType w:val="hybridMultilevel"/>
    <w:tmpl w:val="FDA075D2"/>
    <w:lvl w:ilvl="0" w:tplc="4816CA8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4"/>
  </w:num>
  <w:num w:numId="5">
    <w:abstractNumId w:val="1"/>
  </w:num>
  <w:num w:numId="6">
    <w:abstractNumId w:val="12"/>
  </w:num>
  <w:num w:numId="7">
    <w:abstractNumId w:val="10"/>
  </w:num>
  <w:num w:numId="8">
    <w:abstractNumId w:val="6"/>
  </w:num>
  <w:num w:numId="9">
    <w:abstractNumId w:val="9"/>
  </w:num>
  <w:num w:numId="10">
    <w:abstractNumId w:val="0"/>
  </w:num>
  <w:num w:numId="11">
    <w:abstractNumId w:val="5"/>
  </w:num>
  <w:num w:numId="12">
    <w:abstractNumId w:val="8"/>
  </w:num>
  <w:num w:numId="13">
    <w:abstractNumId w:val="14"/>
  </w:num>
  <w:num w:numId="14">
    <w:abstractNumId w:val="7"/>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F00"/>
    <w:rsid w:val="00006D02"/>
    <w:rsid w:val="0000789C"/>
    <w:rsid w:val="00011CCA"/>
    <w:rsid w:val="00011F00"/>
    <w:rsid w:val="00017BA9"/>
    <w:rsid w:val="00030567"/>
    <w:rsid w:val="00095262"/>
    <w:rsid w:val="000A2B3F"/>
    <w:rsid w:val="00150955"/>
    <w:rsid w:val="00155572"/>
    <w:rsid w:val="001641BA"/>
    <w:rsid w:val="001C1C4D"/>
    <w:rsid w:val="001E6156"/>
    <w:rsid w:val="001F3C02"/>
    <w:rsid w:val="00252615"/>
    <w:rsid w:val="00252C9B"/>
    <w:rsid w:val="0029475B"/>
    <w:rsid w:val="002D5A42"/>
    <w:rsid w:val="003414D1"/>
    <w:rsid w:val="00342EFF"/>
    <w:rsid w:val="00343321"/>
    <w:rsid w:val="003506B3"/>
    <w:rsid w:val="00393A7C"/>
    <w:rsid w:val="003D0CFF"/>
    <w:rsid w:val="003D28FD"/>
    <w:rsid w:val="004069CB"/>
    <w:rsid w:val="00431E58"/>
    <w:rsid w:val="0044682C"/>
    <w:rsid w:val="0045769F"/>
    <w:rsid w:val="00486DDC"/>
    <w:rsid w:val="00494F10"/>
    <w:rsid w:val="00495E2C"/>
    <w:rsid w:val="004B7CC0"/>
    <w:rsid w:val="00530BB4"/>
    <w:rsid w:val="0053414A"/>
    <w:rsid w:val="00542F11"/>
    <w:rsid w:val="00545D14"/>
    <w:rsid w:val="005A2ED1"/>
    <w:rsid w:val="005B43BF"/>
    <w:rsid w:val="005C49F9"/>
    <w:rsid w:val="006225F2"/>
    <w:rsid w:val="006872BF"/>
    <w:rsid w:val="00692145"/>
    <w:rsid w:val="006C0F10"/>
    <w:rsid w:val="006E1D68"/>
    <w:rsid w:val="0070028E"/>
    <w:rsid w:val="00746DAB"/>
    <w:rsid w:val="00760AA4"/>
    <w:rsid w:val="00790AC7"/>
    <w:rsid w:val="007E0F24"/>
    <w:rsid w:val="007E517D"/>
    <w:rsid w:val="007E73B8"/>
    <w:rsid w:val="008114BC"/>
    <w:rsid w:val="0081788B"/>
    <w:rsid w:val="008265A7"/>
    <w:rsid w:val="00842D46"/>
    <w:rsid w:val="00894E65"/>
    <w:rsid w:val="008A57C0"/>
    <w:rsid w:val="008A6579"/>
    <w:rsid w:val="008B32E7"/>
    <w:rsid w:val="008D4423"/>
    <w:rsid w:val="008F2C31"/>
    <w:rsid w:val="0091705F"/>
    <w:rsid w:val="0092357E"/>
    <w:rsid w:val="009E59B6"/>
    <w:rsid w:val="009E62AD"/>
    <w:rsid w:val="00A32EF1"/>
    <w:rsid w:val="00A44C34"/>
    <w:rsid w:val="00A80004"/>
    <w:rsid w:val="00AA7D6E"/>
    <w:rsid w:val="00B20677"/>
    <w:rsid w:val="00B3595C"/>
    <w:rsid w:val="00B712F7"/>
    <w:rsid w:val="00B86884"/>
    <w:rsid w:val="00BB5751"/>
    <w:rsid w:val="00C04D34"/>
    <w:rsid w:val="00C40343"/>
    <w:rsid w:val="00C46E0C"/>
    <w:rsid w:val="00C83F53"/>
    <w:rsid w:val="00C91710"/>
    <w:rsid w:val="00C92E38"/>
    <w:rsid w:val="00CD58EC"/>
    <w:rsid w:val="00D01D39"/>
    <w:rsid w:val="00D148F3"/>
    <w:rsid w:val="00DB2ACF"/>
    <w:rsid w:val="00DC32A4"/>
    <w:rsid w:val="00DD4894"/>
    <w:rsid w:val="00E326FA"/>
    <w:rsid w:val="00E8376C"/>
    <w:rsid w:val="00EA19D4"/>
    <w:rsid w:val="00EB1D0E"/>
    <w:rsid w:val="00EB24D0"/>
    <w:rsid w:val="00EC532F"/>
    <w:rsid w:val="00EE70F9"/>
    <w:rsid w:val="00EF3540"/>
    <w:rsid w:val="00F54D52"/>
    <w:rsid w:val="00F81352"/>
    <w:rsid w:val="00FD7D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67"/>
    <w:pPr>
      <w:overflowPunct w:val="0"/>
      <w:autoSpaceDE w:val="0"/>
      <w:autoSpaceDN w:val="0"/>
      <w:adjustRightInd w:val="0"/>
      <w:textAlignment w:val="baseline"/>
    </w:pPr>
    <w:rPr>
      <w:rFonts w:ascii="Arial" w:hAnsi="Arial" w:cs="Arial"/>
    </w:rPr>
  </w:style>
  <w:style w:type="paragraph" w:styleId="Heading3">
    <w:name w:val="heading 3"/>
    <w:basedOn w:val="Normal"/>
    <w:next w:val="Normal"/>
    <w:link w:val="Heading3Char"/>
    <w:uiPriority w:val="99"/>
    <w:qFormat/>
    <w:rsid w:val="007E0F24"/>
    <w:pPr>
      <w:keepNext/>
      <w:overflowPunct/>
      <w:autoSpaceDE/>
      <w:autoSpaceDN/>
      <w:adjustRightInd/>
      <w:jc w:val="center"/>
      <w:textAlignment w:val="auto"/>
      <w:outlineLvl w:val="2"/>
    </w:pPr>
    <w:rPr>
      <w:rFonts w:cs="Times New Roman"/>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011F00"/>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rPr>
  </w:style>
  <w:style w:type="paragraph" w:styleId="Footer">
    <w:name w:val="footer"/>
    <w:basedOn w:val="Normal"/>
    <w:link w:val="FooterChar"/>
    <w:uiPriority w:val="99"/>
    <w:rsid w:val="00011F00"/>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rPr>
  </w:style>
  <w:style w:type="paragraph" w:styleId="BalloonText">
    <w:name w:val="Balloon Text"/>
    <w:basedOn w:val="Normal"/>
    <w:link w:val="BalloonTextChar"/>
    <w:uiPriority w:val="99"/>
    <w:semiHidden/>
    <w:rsid w:val="001F3C0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5A2ED1"/>
    <w:rPr>
      <w:rFonts w:cs="Times New Roman"/>
      <w:color w:val="0000FF"/>
      <w:u w:val="single"/>
    </w:rPr>
  </w:style>
  <w:style w:type="character" w:styleId="FollowedHyperlink">
    <w:name w:val="FollowedHyperlink"/>
    <w:basedOn w:val="DefaultParagraphFont"/>
    <w:uiPriority w:val="99"/>
    <w:rsid w:val="00A80004"/>
    <w:rPr>
      <w:rFonts w:cs="Times New Roman"/>
      <w:color w:val="800080"/>
      <w:u w:val="single"/>
    </w:rPr>
  </w:style>
  <w:style w:type="paragraph" w:styleId="ListParagraph">
    <w:name w:val="List Paragraph"/>
    <w:basedOn w:val="Normal"/>
    <w:uiPriority w:val="99"/>
    <w:qFormat/>
    <w:rsid w:val="00150955"/>
    <w:pPr>
      <w:ind w:left="720"/>
      <w:contextualSpacing/>
    </w:pPr>
  </w:style>
  <w:style w:type="table" w:styleId="TableGrid">
    <w:name w:val="Table Grid"/>
    <w:basedOn w:val="TableNormal"/>
    <w:uiPriority w:val="99"/>
    <w:rsid w:val="003414D1"/>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0648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ocuments/DCH-0583TEST_REQUEST_7587_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vhf/ebola/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dc.gov/vhf/ebola/hcp/infection-prevention-and-control-recommendations.html" TargetMode="External"/><Relationship Id="rId4" Type="http://schemas.openxmlformats.org/officeDocument/2006/relationships/webSettings" Target="webSettings.xml"/><Relationship Id="rId9" Type="http://schemas.openxmlformats.org/officeDocument/2006/relationships/hyperlink" Target="http://www.michigan.gov/documents/mdch/HUMAN_form-50-34_410210_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1104</Words>
  <Characters>6299</Characters>
  <Application>Microsoft Office Outlook</Application>
  <DocSecurity>0</DocSecurity>
  <Lines>0</Lines>
  <Paragraphs>0</Paragraphs>
  <ScaleCrop>false</ScaleCrop>
  <Company>Region 2 South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Amy</dc:title>
  <dc:subject/>
  <dc:creator>Amy Beauregard</dc:creator>
  <cp:keywords/>
  <dc:description/>
  <cp:lastModifiedBy>Lisa Martin</cp:lastModifiedBy>
  <cp:revision>2</cp:revision>
  <cp:lastPrinted>2014-10-13T15:22:00Z</cp:lastPrinted>
  <dcterms:created xsi:type="dcterms:W3CDTF">2014-10-13T15:23:00Z</dcterms:created>
  <dcterms:modified xsi:type="dcterms:W3CDTF">2014-10-13T15:23:00Z</dcterms:modified>
</cp:coreProperties>
</file>